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38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85C">
        <w:rPr>
          <w:rFonts w:ascii="Times New Roman" w:hAnsi="Times New Roman" w:cs="Times New Roman"/>
          <w:b/>
          <w:sz w:val="24"/>
          <w:szCs w:val="24"/>
        </w:rPr>
        <w:t>КРАЕВОЕ АВТОНОМНОЕ УЧРЕЖЕДНИЕ</w:t>
      </w:r>
      <w:r w:rsidR="008E16DF">
        <w:rPr>
          <w:rFonts w:ascii="Times New Roman" w:hAnsi="Times New Roman" w:cs="Times New Roman"/>
          <w:b/>
          <w:sz w:val="24"/>
          <w:szCs w:val="24"/>
        </w:rPr>
        <w:br/>
      </w:r>
      <w:r w:rsidRPr="003D185C">
        <w:rPr>
          <w:rFonts w:ascii="Times New Roman" w:hAnsi="Times New Roman" w:cs="Times New Roman"/>
          <w:b/>
          <w:sz w:val="24"/>
          <w:szCs w:val="24"/>
        </w:rPr>
        <w:t>«АЛТАЙСКИЙ КРАЕВОЙ РОССИЙСКО-НЕМЕЦКИЙ ДОМ»</w:t>
      </w: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</w:pPr>
      <w:r>
        <w:object w:dxaOrig="1781" w:dyaOrig="2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38.6pt" o:ole="" fillcolor="window">
            <v:imagedata r:id="rId8" o:title="" grayscale="t"/>
          </v:shape>
          <o:OLEObject Type="Embed" ProgID="CorelDRAW.Graphic.14" ShapeID="_x0000_i1025" DrawAspect="Content" ObjectID="_1658912110" r:id="rId9"/>
        </w:object>
      </w:r>
    </w:p>
    <w:p w:rsidR="003D185C" w:rsidRDefault="003D185C" w:rsidP="003D185C">
      <w:pPr>
        <w:spacing w:after="0" w:line="360" w:lineRule="auto"/>
        <w:jc w:val="center"/>
      </w:pPr>
    </w:p>
    <w:p w:rsidR="003D185C" w:rsidRDefault="003D185C" w:rsidP="003D185C">
      <w:pPr>
        <w:spacing w:after="0" w:line="360" w:lineRule="auto"/>
        <w:jc w:val="center"/>
      </w:pPr>
    </w:p>
    <w:p w:rsidR="003D185C" w:rsidRDefault="003D185C" w:rsidP="003D185C">
      <w:pPr>
        <w:spacing w:after="0" w:line="360" w:lineRule="auto"/>
        <w:jc w:val="center"/>
      </w:pPr>
    </w:p>
    <w:p w:rsidR="003D185C" w:rsidRPr="003D185C" w:rsidRDefault="003D185C" w:rsidP="003D1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D18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Методические рекомендации</w:t>
      </w:r>
    </w:p>
    <w:p w:rsidR="003D185C" w:rsidRPr="003D185C" w:rsidRDefault="003D185C" w:rsidP="003D1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18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подготовке и составлению отчета об использовании средств</w:t>
      </w:r>
    </w:p>
    <w:p w:rsidR="003D185C" w:rsidRPr="003D185C" w:rsidRDefault="003D185C" w:rsidP="003D185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D185C">
        <w:rPr>
          <w:color w:val="000000"/>
          <w:sz w:val="28"/>
          <w:szCs w:val="28"/>
        </w:rPr>
        <w:t xml:space="preserve">субсидии </w:t>
      </w:r>
      <w:r w:rsidRPr="003D185C">
        <w:rPr>
          <w:sz w:val="28"/>
          <w:szCs w:val="28"/>
        </w:rPr>
        <w:t>на реализацию про</w:t>
      </w:r>
      <w:r>
        <w:rPr>
          <w:sz w:val="28"/>
          <w:szCs w:val="28"/>
        </w:rPr>
        <w:t xml:space="preserve">ектов и </w:t>
      </w:r>
      <w:r w:rsidRPr="003D185C">
        <w:rPr>
          <w:sz w:val="28"/>
          <w:szCs w:val="28"/>
        </w:rPr>
        <w:t>мероприятий по этнокульту</w:t>
      </w:r>
      <w:r w:rsidRPr="003D185C">
        <w:rPr>
          <w:sz w:val="28"/>
          <w:szCs w:val="28"/>
        </w:rPr>
        <w:t>р</w:t>
      </w:r>
      <w:r w:rsidRPr="003D185C">
        <w:rPr>
          <w:sz w:val="28"/>
          <w:szCs w:val="28"/>
        </w:rPr>
        <w:t>ному развитию, ме</w:t>
      </w:r>
      <w:r>
        <w:rPr>
          <w:sz w:val="28"/>
          <w:szCs w:val="28"/>
        </w:rPr>
        <w:t xml:space="preserve">жнациональному </w:t>
      </w:r>
      <w:r w:rsidRPr="003D185C">
        <w:rPr>
          <w:sz w:val="28"/>
          <w:szCs w:val="28"/>
        </w:rPr>
        <w:t>сотрудничеству и укреплению единства российской нации</w:t>
      </w:r>
    </w:p>
    <w:p w:rsidR="003D185C" w:rsidRPr="00D40684" w:rsidRDefault="003D185C" w:rsidP="003D185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3D185C" w:rsidRPr="003D185C" w:rsidRDefault="003D185C" w:rsidP="003D1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85C" w:rsidRDefault="003D185C" w:rsidP="003D1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6DF" w:rsidRPr="00E25537" w:rsidRDefault="008E16DF" w:rsidP="00D76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37">
        <w:rPr>
          <w:rFonts w:ascii="Times New Roman" w:hAnsi="Times New Roman" w:cs="Times New Roman"/>
          <w:sz w:val="28"/>
          <w:szCs w:val="28"/>
        </w:rPr>
        <w:t>Барнаул, 2020</w:t>
      </w:r>
      <w:r w:rsidRPr="00E2553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11EF" w:rsidRPr="00E25537" w:rsidRDefault="003F11EF" w:rsidP="00E255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3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разработаны КАУ АК РНД с целью систематиз</w:t>
      </w:r>
      <w:r w:rsidRPr="00E25537">
        <w:rPr>
          <w:rFonts w:ascii="Times New Roman" w:hAnsi="Times New Roman" w:cs="Times New Roman"/>
          <w:b/>
          <w:sz w:val="28"/>
          <w:szCs w:val="28"/>
        </w:rPr>
        <w:t>и</w:t>
      </w:r>
      <w:r w:rsidRPr="00E25537">
        <w:rPr>
          <w:rFonts w:ascii="Times New Roman" w:hAnsi="Times New Roman" w:cs="Times New Roman"/>
          <w:b/>
          <w:sz w:val="28"/>
          <w:szCs w:val="28"/>
        </w:rPr>
        <w:t>рования требований, установленных нормативн</w:t>
      </w:r>
      <w:r w:rsidR="008E16DF" w:rsidRPr="00E25537">
        <w:rPr>
          <w:rFonts w:ascii="Times New Roman" w:hAnsi="Times New Roman" w:cs="Times New Roman"/>
          <w:b/>
          <w:sz w:val="28"/>
          <w:szCs w:val="28"/>
        </w:rPr>
        <w:t>ыми</w:t>
      </w:r>
      <w:r w:rsidRPr="00E25537">
        <w:rPr>
          <w:rFonts w:ascii="Times New Roman" w:hAnsi="Times New Roman" w:cs="Times New Roman"/>
          <w:b/>
          <w:sz w:val="28"/>
          <w:szCs w:val="28"/>
        </w:rPr>
        <w:t xml:space="preserve"> правовыми актами к составлению отчётов об использовании су</w:t>
      </w:r>
      <w:r w:rsidRPr="00E25537">
        <w:rPr>
          <w:rFonts w:ascii="Times New Roman" w:hAnsi="Times New Roman" w:cs="Times New Roman"/>
          <w:b/>
          <w:sz w:val="28"/>
          <w:szCs w:val="28"/>
        </w:rPr>
        <w:t>б</w:t>
      </w:r>
      <w:r w:rsidRPr="00E25537">
        <w:rPr>
          <w:rFonts w:ascii="Times New Roman" w:hAnsi="Times New Roman" w:cs="Times New Roman"/>
          <w:b/>
          <w:sz w:val="28"/>
          <w:szCs w:val="28"/>
        </w:rPr>
        <w:t xml:space="preserve">сидии, и повышения качества </w:t>
      </w:r>
      <w:r w:rsidR="008E16DF" w:rsidRPr="00E25537">
        <w:rPr>
          <w:rFonts w:ascii="Times New Roman" w:hAnsi="Times New Roman" w:cs="Times New Roman"/>
          <w:b/>
          <w:sz w:val="28"/>
          <w:szCs w:val="28"/>
        </w:rPr>
        <w:t>отчё</w:t>
      </w:r>
      <w:r w:rsidR="008E16DF" w:rsidRPr="00E25537">
        <w:rPr>
          <w:rFonts w:ascii="Times New Roman" w:hAnsi="Times New Roman" w:cs="Times New Roman"/>
          <w:b/>
          <w:sz w:val="28"/>
          <w:szCs w:val="28"/>
        </w:rPr>
        <w:t>т</w:t>
      </w:r>
      <w:r w:rsidR="008E16DF" w:rsidRPr="00E25537">
        <w:rPr>
          <w:rFonts w:ascii="Times New Roman" w:hAnsi="Times New Roman" w:cs="Times New Roman"/>
          <w:b/>
          <w:sz w:val="28"/>
          <w:szCs w:val="28"/>
        </w:rPr>
        <w:t>ной документации</w:t>
      </w:r>
      <w:r w:rsidR="00E25537">
        <w:rPr>
          <w:rFonts w:ascii="Times New Roman" w:hAnsi="Times New Roman" w:cs="Times New Roman"/>
          <w:b/>
          <w:sz w:val="28"/>
          <w:szCs w:val="28"/>
        </w:rPr>
        <w:t>.</w:t>
      </w: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Pr="00AD5114" w:rsidRDefault="00783D78" w:rsidP="00783D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783D78">
      <w:pPr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783D78" w:rsidP="00D054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8" w:rsidRDefault="008E16DF" w:rsidP="00D760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11EF" w:rsidRDefault="007E286E" w:rsidP="00D760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3F11EF" w:rsidRPr="003F11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7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1EF" w:rsidRPr="003F11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отчета об использовании субсидии</w:t>
      </w:r>
    </w:p>
    <w:p w:rsidR="007E286E" w:rsidRPr="003F11EF" w:rsidRDefault="007E286E" w:rsidP="007563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11EF" w:rsidRPr="003F11EF" w:rsidRDefault="003F11EF" w:rsidP="00BD1F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об использовании субсидии составляется на основании сумм фактически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произведенных и документально подтвержденных расходов в с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со сметой.</w:t>
      </w:r>
    </w:p>
    <w:p w:rsidR="003F11EF" w:rsidRPr="003F11EF" w:rsidRDefault="003F11EF" w:rsidP="00756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об использовании средств субсидии включает в себя:</w:t>
      </w:r>
    </w:p>
    <w:p w:rsidR="003F11EF" w:rsidRPr="003F11EF" w:rsidRDefault="003F11EF" w:rsidP="00756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17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содержательный 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об использовании субсидии на реализ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цию проекта;</w:t>
      </w:r>
    </w:p>
    <w:p w:rsidR="0075630F" w:rsidRDefault="003F11EF" w:rsidP="00756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630F">
        <w:rPr>
          <w:rFonts w:ascii="Times New Roman" w:eastAsia="Times New Roman" w:hAnsi="Times New Roman" w:cs="Times New Roman"/>
          <w:color w:val="000000"/>
          <w:sz w:val="28"/>
          <w:szCs w:val="28"/>
        </w:rPr>
        <w:t>) финансовый отчет об использовании с</w:t>
      </w:r>
      <w:r w:rsidR="001734BB">
        <w:rPr>
          <w:rFonts w:ascii="Times New Roman" w:eastAsia="Times New Roman" w:hAnsi="Times New Roman" w:cs="Times New Roman"/>
          <w:color w:val="000000"/>
          <w:sz w:val="28"/>
          <w:szCs w:val="28"/>
        </w:rPr>
        <w:t>убсидии на реализацию прое</w:t>
      </w:r>
      <w:r w:rsidR="001734B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734B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</w:p>
    <w:p w:rsidR="0075630F" w:rsidRDefault="0075630F" w:rsidP="00756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1734B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финансовых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(чеки, договора и т.д.)</w:t>
      </w:r>
    </w:p>
    <w:p w:rsidR="003F11EF" w:rsidRPr="003F11EF" w:rsidRDefault="003F11EF" w:rsidP="00BD1F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Отчеты должны быть составлены строго в соответствии с форм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закрепленными в</w:t>
      </w:r>
      <w:r w:rsidR="00F24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</w:t>
      </w:r>
      <w:r w:rsidR="007E286E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к соглашению о предоставлении субсидии.</w:t>
      </w:r>
    </w:p>
    <w:p w:rsidR="00D010BE" w:rsidRDefault="003F11EF" w:rsidP="00D010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об использовании субсидии составляется в 2-х экземпл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рах, один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экзе</w:t>
      </w:r>
      <w:r w:rsidR="00756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мпляр </w:t>
      </w:r>
      <w:r w:rsidR="00F24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передается </w:t>
      </w:r>
      <w:r w:rsidR="0075630F">
        <w:rPr>
          <w:rFonts w:ascii="Times New Roman" w:eastAsia="Times New Roman" w:hAnsi="Times New Roman" w:cs="Times New Roman"/>
          <w:color w:val="000000"/>
          <w:sz w:val="28"/>
          <w:szCs w:val="28"/>
        </w:rPr>
        <w:t>в КАУ АК РНД</w:t>
      </w:r>
      <w:r w:rsidRPr="003F11EF">
        <w:rPr>
          <w:rFonts w:ascii="Times New Roman" w:eastAsia="Times New Roman" w:hAnsi="Times New Roman" w:cs="Times New Roman"/>
          <w:color w:val="000000"/>
          <w:sz w:val="28"/>
          <w:szCs w:val="28"/>
        </w:rPr>
        <w:t>, а вто</w:t>
      </w:r>
      <w:r w:rsidR="0075630F">
        <w:rPr>
          <w:rFonts w:ascii="Times New Roman" w:eastAsia="Times New Roman" w:hAnsi="Times New Roman" w:cs="Times New Roman"/>
          <w:color w:val="000000"/>
          <w:sz w:val="28"/>
          <w:szCs w:val="28"/>
        </w:rPr>
        <w:t>рой экземпляр –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30F">
        <w:rPr>
          <w:rFonts w:ascii="Times New Roman" w:eastAsia="Times New Roman" w:hAnsi="Times New Roman" w:cs="Times New Roman"/>
          <w:color w:val="000000"/>
          <w:sz w:val="28"/>
          <w:szCs w:val="28"/>
        </w:rPr>
        <w:t>в бухгалтери</w:t>
      </w:r>
      <w:r w:rsidR="00D010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D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делами Губернатора и </w:t>
      </w:r>
      <w:r w:rsidR="00D01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Алта</w:t>
      </w:r>
      <w:r w:rsidR="00D010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010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="00BD1F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30F" w:rsidRPr="00BD1F31" w:rsidRDefault="0075630F" w:rsidP="00BD1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287" w:rsidRPr="002311E3" w:rsidRDefault="007E286E" w:rsidP="00F24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D760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91287" w:rsidRPr="00AE0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копий первичных учётных документов, подтве</w:t>
      </w:r>
      <w:r w:rsidR="00491287" w:rsidRPr="00AE0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491287" w:rsidRPr="00AE0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ждающих</w:t>
      </w:r>
      <w:r w:rsidR="00783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4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произведенные расходы</w:t>
      </w:r>
    </w:p>
    <w:p w:rsidR="007E286E" w:rsidRDefault="007E286E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1287" w:rsidRPr="00AE0BE9" w:rsidRDefault="0081496F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12" o:spid="_x0000_s1026" type="#_x0000_t65" style="position:absolute;left:0;text-align:left;margin-left:-4.2pt;margin-top:437.4pt;width:439.8pt;height:106.8pt;z-index:251662336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" o:allowincell="f" fillcolor="#cf7b79 [2421]" strokecolor="#969696" strokeweight=".5pt">
            <v:fill opacity="19789f"/>
            <v:textbox inset="10.8pt,7.2pt,10.8pt">
              <w:txbxContent>
                <w:p w:rsidR="00993F0C" w:rsidRPr="00783D78" w:rsidRDefault="00993F0C" w:rsidP="00993F0C">
                  <w:pPr>
                    <w:spacing w:after="0" w:line="240" w:lineRule="auto"/>
                    <w:jc w:val="both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Предлагаем на первом этапе реализации проекта завести отдельную папку для отчетности по проекту и комплектовать ее на протяж</w:t>
                  </w: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е</w:t>
                  </w: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нии всего срока реализации проекта. В такую папку необходимо соб</w:t>
                  </w: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и</w:t>
                  </w: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рать всё, что связанно с реализацией проекта, разделяя по направл</w:t>
                  </w: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е</w:t>
                  </w: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ниям с разбивкой на статьи расходов, это могут быть копии чеков, других финансовых документов, договоров, актов, сч</w:t>
                  </w: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е</w:t>
                  </w: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тов и т.д.</w:t>
                  </w:r>
                </w:p>
              </w:txbxContent>
            </v:textbox>
            <w10:wrap type="square" anchorx="margin" anchory="margin"/>
          </v:shape>
        </w:pic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К отчету должны быть приложены копии первичных учетных д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D0A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произведенные  расходы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получение т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варов, выполнение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 услуг (договоры, акты приема-передачи, ка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совые чеки и товарные чеки, счета,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счета-фактуры, платежные поруч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квитанции приходных ордеров, расходные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ордера, ведомости, д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кументы строгой отчетности и другие документы в зависимости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287"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произведенных расходов).</w:t>
      </w:r>
    </w:p>
    <w:p w:rsidR="00491287" w:rsidRPr="00AE0BE9" w:rsidRDefault="00491287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копии первичных уч</w:t>
      </w:r>
      <w:r w:rsidR="004D2D0A"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 документов, подтверждающих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расходы,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подшиваются в отдельную папку с разбивкой по каждой ст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тье расходов и нумеруются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арабскими цифрами, соблюдая сквозную нумерацию по всему составу отчета.</w:t>
      </w:r>
    </w:p>
    <w:p w:rsidR="00491287" w:rsidRPr="00AE0BE9" w:rsidRDefault="00491287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лист копии первичных учетных документов должен быть заверен</w:t>
      </w:r>
      <w:r w:rsid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подписью председателя некоммерческой организации 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(необх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димо указать «копия верна», дату заверения и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с расшифро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кой)</w:t>
      </w:r>
      <w:r w:rsid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печатью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. Ксерокопии документов необходимо делать на листах формата А4.</w:t>
      </w:r>
    </w:p>
    <w:p w:rsidR="00BD1F31" w:rsidRDefault="00491287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наличия</w:t>
      </w:r>
      <w:r w:rsidR="004D2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копий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подтверждающих документов о фактически произведенных расходах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0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на проверку не может быть принят. </w:t>
      </w:r>
    </w:p>
    <w:p w:rsidR="002311E3" w:rsidRDefault="002311E3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86E" w:rsidRPr="00D760F9" w:rsidRDefault="007E286E" w:rsidP="00D76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2311E3" w:rsidRPr="002311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представляемым копи</w:t>
      </w:r>
      <w:r w:rsidR="00182D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ям первичных </w:t>
      </w:r>
      <w:r w:rsidR="00BD1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учетных д</w:t>
      </w:r>
      <w:r w:rsidR="00BD1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BD1F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кументов, подтверждающих произведенную оплату </w:t>
      </w:r>
      <w:r w:rsidR="004D38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расходов</w:t>
      </w:r>
    </w:p>
    <w:p w:rsidR="002311E3" w:rsidRPr="002311E3" w:rsidRDefault="002311E3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</w:t>
      </w:r>
      <w:r w:rsidR="00BD1F31">
        <w:rPr>
          <w:rFonts w:ascii="Times New Roman" w:eastAsia="Times New Roman" w:hAnsi="Times New Roman" w:cs="Times New Roman"/>
          <w:color w:val="000000"/>
          <w:sz w:val="28"/>
          <w:szCs w:val="28"/>
        </w:rPr>
        <w:t>е копии первичных учетных документов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быть:</w:t>
      </w:r>
    </w:p>
    <w:p w:rsidR="002311E3" w:rsidRPr="002311E3" w:rsidRDefault="002311E3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отпечатанные (читаемые);</w:t>
      </w:r>
    </w:p>
    <w:p w:rsidR="002311E3" w:rsidRPr="002311E3" w:rsidRDefault="002311E3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товарного чека, контрольно-кассовые чеки раздельно отк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пированы на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83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листах (формат А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4);</w:t>
      </w:r>
    </w:p>
    <w:p w:rsidR="002311E3" w:rsidRPr="002311E3" w:rsidRDefault="002311E3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приложены в хронологическом порядке в соответствии с наим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нованиями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статей расходов сметы;</w:t>
      </w:r>
    </w:p>
    <w:p w:rsidR="002311E3" w:rsidRPr="002311E3" w:rsidRDefault="002311E3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пронумерованы;</w:t>
      </w:r>
    </w:p>
    <w:p w:rsidR="002311E3" w:rsidRPr="002311E3" w:rsidRDefault="002311E3" w:rsidP="00231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заверены </w:t>
      </w:r>
      <w:r w:rsidR="00A80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0912D4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бухгалтером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0AE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некоммерческой орг</w:t>
      </w:r>
      <w:r w:rsidR="00A800A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00AE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11E3" w:rsidRPr="002311E3" w:rsidRDefault="002311E3" w:rsidP="000912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указанная в первичном документе сумма состоит не только из средств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субсидии, обязательно должна быть выполнена надпись на ксерок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пии платежного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 «</w:t>
      </w:r>
      <w:r w:rsidR="004D3834" w:rsidRPr="004D38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Pr="004D38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том числе_______ руб. за счет собственных средств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800AE" w:rsidRDefault="002311E3" w:rsidP="00A8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кассовом чеке не указано наименование приобретаемого товара (работы,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услуги), к нему должен быть приложен товарный чек.</w:t>
      </w:r>
    </w:p>
    <w:p w:rsidR="000912D4" w:rsidRDefault="002311E3" w:rsidP="00A80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и наименование организации на кассовом и товарном чеках должны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совпадать. В товарном чеке должны быть заполнены все рекв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зиты, </w:t>
      </w:r>
      <w:r w:rsidR="00A800A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 конкретное наименование приобретенных товаров (р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бот, услуг) – сорт, вид,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</w:t>
      </w:r>
      <w:r w:rsid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31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товарном чеке не должно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пу</w:t>
      </w:r>
      <w:r w:rsid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тых строк.</w:t>
      </w:r>
    </w:p>
    <w:p w:rsidR="007E286E" w:rsidRDefault="007E286E" w:rsidP="00D0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3A5" w:rsidRPr="007903A5" w:rsidRDefault="007E286E" w:rsidP="005842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7903A5" w:rsidRPr="0079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Документы, подт</w:t>
      </w:r>
      <w:r w:rsidR="00F24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верждающие расходование средств</w:t>
      </w:r>
    </w:p>
    <w:p w:rsidR="007E286E" w:rsidRDefault="007E286E" w:rsidP="00790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3A5" w:rsidRPr="007903A5" w:rsidRDefault="007903A5" w:rsidP="00790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приобретение товаров должны быть подтверждены копиями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документов:</w:t>
      </w:r>
    </w:p>
    <w:p w:rsidR="007903A5" w:rsidRPr="007903A5" w:rsidRDefault="007903A5" w:rsidP="00790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 w:rsidR="00D236BA">
        <w:rPr>
          <w:rFonts w:ascii="Times New Roman" w:eastAsia="Times New Roman" w:hAnsi="Times New Roman" w:cs="Times New Roman"/>
          <w:color w:val="000000"/>
          <w:sz w:val="28"/>
          <w:szCs w:val="28"/>
        </w:rPr>
        <w:t>вор на поставку товара, оказание услуг или выполнение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бот;</w:t>
      </w:r>
    </w:p>
    <w:p w:rsidR="007903A5" w:rsidRPr="007903A5" w:rsidRDefault="007903A5" w:rsidP="00790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на оплату;</w:t>
      </w:r>
    </w:p>
    <w:p w:rsidR="007903A5" w:rsidRPr="007903A5" w:rsidRDefault="007903A5" w:rsidP="00790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товарная накладная, содер</w:t>
      </w:r>
      <w:r w:rsidR="007E286E">
        <w:rPr>
          <w:rFonts w:ascii="Times New Roman" w:eastAsia="Times New Roman" w:hAnsi="Times New Roman" w:cs="Times New Roman"/>
          <w:color w:val="000000"/>
          <w:sz w:val="28"/>
          <w:szCs w:val="28"/>
        </w:rPr>
        <w:t>жащая все необходимые реквизиты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03A5" w:rsidRPr="007903A5" w:rsidRDefault="007903A5" w:rsidP="007903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счет-фактура;</w:t>
      </w:r>
    </w:p>
    <w:p w:rsidR="00B32E91" w:rsidRDefault="007903A5" w:rsidP="00D76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платежное поручение, в котором должно быть указано назнач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платежа или на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какого документа производитс</w:t>
      </w:r>
      <w:r w:rsidR="00006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оплата (безналичный расчет);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кассовый чек, товарный чек</w:t>
      </w:r>
      <w:r w:rsidR="007E28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квитанция к </w:t>
      </w:r>
      <w:r w:rsidR="00BB5D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B5D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B5D8C">
        <w:rPr>
          <w:rFonts w:ascii="Times New Roman" w:eastAsia="Times New Roman" w:hAnsi="Times New Roman" w:cs="Times New Roman"/>
          <w:color w:val="000000"/>
          <w:sz w:val="28"/>
          <w:szCs w:val="28"/>
        </w:rPr>
        <w:t>ходно-кассовому орд</w:t>
      </w:r>
      <w:r w:rsidR="00BB5D8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5D8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(наличный расчет)</w:t>
      </w:r>
      <w:r w:rsidR="00A800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5D8C" w:rsidRDefault="0081496F" w:rsidP="00BB5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96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pict>
          <v:shape id="AutoShape 16" o:spid="_x0000_s1027" type="#_x0000_t65" style="position:absolute;left:0;text-align:left;margin-left:-40.8pt;margin-top:-34.2pt;width:528pt;height:757.2pt;z-index:251665408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" o:allowincell="f" o:allowoverlap="f" fillcolor="#cf7b79 [2421]" strokecolor="#969696" strokeweight=".5pt">
            <v:fill opacity="19789f"/>
            <v:textbox style="mso-next-textbox:#AutoShape 16" inset="10.8pt,7.2pt,10.8pt">
              <w:txbxContent>
                <w:p w:rsidR="00993F0C" w:rsidRDefault="00993F0C" w:rsidP="00B32E91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7525ED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0000"/>
                      <w:sz w:val="28"/>
                      <w:szCs w:val="28"/>
                    </w:rPr>
                    <w:t>Обязат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0000"/>
                      <w:sz w:val="28"/>
                      <w:szCs w:val="28"/>
                    </w:rPr>
                    <w:t>ельные реквизиты товарного чека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наименование документа;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порядковый номер за смену;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дата, время и место (адрес) осуществления расчета (при расчете в зданиях и помещениях - адрес здания и помещения с почтовым индексом, при расчете в транспортных средствах - наименование и номер транспортного средства, адрес организации либо адрес регистрации индивидуального предпринимат</w:t>
                  </w:r>
                  <w:r w:rsidRPr="00993F0C">
                    <w:rPr>
                      <w:sz w:val="21"/>
                      <w:szCs w:val="21"/>
                    </w:rPr>
                    <w:t>е</w:t>
                  </w:r>
                  <w:r w:rsidRPr="00993F0C">
                    <w:rPr>
                      <w:sz w:val="21"/>
                      <w:szCs w:val="21"/>
                    </w:rPr>
                    <w:t>ля, при ра</w:t>
                  </w:r>
                  <w:r w:rsidRPr="00993F0C">
                    <w:rPr>
                      <w:sz w:val="21"/>
                      <w:szCs w:val="21"/>
                    </w:rPr>
                    <w:t>с</w:t>
                  </w:r>
                  <w:r w:rsidRPr="00993F0C">
                    <w:rPr>
                      <w:sz w:val="21"/>
                      <w:szCs w:val="21"/>
                    </w:rPr>
                    <w:t>чете в сети "Интернет" - адрес сайта пользователя);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наименование организации-пользователя или фамилия, имя, отчество (при наличии) индивидуального предпринимателя - пользователя;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идентификационный номер налогоплательщика пользователя;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применяемая при расчете система налогообложения;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признак расчета (получение средств от покупателя (клиента) - приход, возврат покупателю (клиенту) средств, полученных от него, - возврат прихода, выдача средств покупателю (клиенту) - расход, пол</w:t>
                  </w:r>
                  <w:r w:rsidRPr="00993F0C">
                    <w:rPr>
                      <w:sz w:val="21"/>
                      <w:szCs w:val="21"/>
                    </w:rPr>
                    <w:t>у</w:t>
                  </w:r>
                  <w:r w:rsidRPr="00993F0C">
                    <w:rPr>
                      <w:sz w:val="21"/>
                      <w:szCs w:val="21"/>
                    </w:rPr>
                    <w:t>чение средств от покупателя (клиента), выданных ему, - возврат расхода);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наименование товаров, работ, услуг (если объем и список услуг возможно определить в момент опл</w:t>
                  </w:r>
                  <w:r w:rsidRPr="00993F0C">
                    <w:rPr>
                      <w:sz w:val="21"/>
                      <w:szCs w:val="21"/>
                    </w:rPr>
                    <w:t>а</w:t>
                  </w:r>
                  <w:r w:rsidRPr="00993F0C">
                    <w:rPr>
                      <w:sz w:val="21"/>
                      <w:szCs w:val="21"/>
                    </w:rPr>
                    <w:t>ты), платежа, выплаты, их количество, цена (в валюте Российской Федерации) за единицу с учетом ск</w:t>
                  </w:r>
                  <w:r w:rsidRPr="00993F0C">
                    <w:rPr>
                      <w:sz w:val="21"/>
                      <w:szCs w:val="21"/>
                    </w:rPr>
                    <w:t>и</w:t>
                  </w:r>
                  <w:r w:rsidRPr="00993F0C">
                    <w:rPr>
                      <w:sz w:val="21"/>
                      <w:szCs w:val="21"/>
                    </w:rPr>
                    <w:t>док и наценок, стоимость с учетом скидок и наценок, с указанием ставки налога на добавленную сто</w:t>
                  </w:r>
                  <w:r w:rsidRPr="00993F0C">
                    <w:rPr>
                      <w:sz w:val="21"/>
                      <w:szCs w:val="21"/>
                    </w:rPr>
                    <w:t>и</w:t>
                  </w:r>
                  <w:r w:rsidRPr="00993F0C">
                    <w:rPr>
                      <w:sz w:val="21"/>
                      <w:szCs w:val="21"/>
                    </w:rPr>
                    <w:t>мость (за исключением случаев осуществления расчетов пользователями, не являющимися налогопл</w:t>
                  </w:r>
                  <w:r w:rsidRPr="00993F0C">
                    <w:rPr>
                      <w:sz w:val="21"/>
                      <w:szCs w:val="21"/>
                    </w:rPr>
                    <w:t>а</w:t>
                  </w:r>
                  <w:r w:rsidRPr="00993F0C">
                    <w:rPr>
                      <w:sz w:val="21"/>
                      <w:szCs w:val="21"/>
                    </w:rPr>
                    <w:t>тельщиками налога на добавленную стоимость или освобожденными от исполнения обязанностей н</w:t>
                  </w:r>
                  <w:r w:rsidRPr="00993F0C">
                    <w:rPr>
                      <w:sz w:val="21"/>
                      <w:szCs w:val="21"/>
                    </w:rPr>
                    <w:t>а</w:t>
                  </w:r>
                  <w:r w:rsidRPr="00993F0C">
                    <w:rPr>
                      <w:sz w:val="21"/>
                      <w:szCs w:val="21"/>
                    </w:rPr>
                    <w:t>логоплательщика налога на добавленную стоимость, а также осуществления расчетов за товары, раб</w:t>
                  </w:r>
                  <w:r w:rsidRPr="00993F0C">
                    <w:rPr>
                      <w:sz w:val="21"/>
                      <w:szCs w:val="21"/>
                    </w:rPr>
                    <w:t>о</w:t>
                  </w:r>
                  <w:r w:rsidRPr="00993F0C">
                    <w:rPr>
                      <w:sz w:val="21"/>
                      <w:szCs w:val="21"/>
                    </w:rPr>
                    <w:t>ты, услуги, не подлежащие налогообложению (освобождаемые от налогообложения) налогом на доба</w:t>
                  </w:r>
                  <w:r w:rsidRPr="00993F0C">
                    <w:rPr>
                      <w:sz w:val="21"/>
                      <w:szCs w:val="21"/>
                    </w:rPr>
                    <w:t>в</w:t>
                  </w:r>
                  <w:r w:rsidRPr="00993F0C">
                    <w:rPr>
                      <w:sz w:val="21"/>
                      <w:szCs w:val="21"/>
                    </w:rPr>
                    <w:t>ленную стоимость);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сумма расчета с отдельным указанием ставок и сумм налога на добавленную стоимость по этим ста</w:t>
                  </w:r>
                  <w:r w:rsidRPr="00993F0C">
                    <w:rPr>
                      <w:sz w:val="21"/>
                      <w:szCs w:val="21"/>
                    </w:rPr>
                    <w:t>в</w:t>
                  </w:r>
                  <w:r w:rsidRPr="00993F0C">
                    <w:rPr>
                      <w:sz w:val="21"/>
                      <w:szCs w:val="21"/>
                    </w:rPr>
                    <w:t>кам (за исключением случаев осуществления расчетов пользователями, не являющимися налогопл</w:t>
                  </w:r>
                  <w:r w:rsidRPr="00993F0C">
                    <w:rPr>
                      <w:sz w:val="21"/>
                      <w:szCs w:val="21"/>
                    </w:rPr>
                    <w:t>а</w:t>
                  </w:r>
                  <w:r w:rsidRPr="00993F0C">
                    <w:rPr>
                      <w:sz w:val="21"/>
                      <w:szCs w:val="21"/>
                    </w:rPr>
                    <w:t>тельщиками налога на добавленную стоимость или освобожденными от исполнения обязанностей н</w:t>
                  </w:r>
                  <w:r w:rsidRPr="00993F0C">
                    <w:rPr>
                      <w:sz w:val="21"/>
                      <w:szCs w:val="21"/>
                    </w:rPr>
                    <w:t>а</w:t>
                  </w:r>
                  <w:r w:rsidRPr="00993F0C">
                    <w:rPr>
                      <w:sz w:val="21"/>
                      <w:szCs w:val="21"/>
                    </w:rPr>
                    <w:t>логоплательщика налога на добавленную стоимость, а также осуществления расчетов за товары, раб</w:t>
                  </w:r>
                  <w:r w:rsidRPr="00993F0C">
                    <w:rPr>
                      <w:sz w:val="21"/>
                      <w:szCs w:val="21"/>
                    </w:rPr>
                    <w:t>о</w:t>
                  </w:r>
                  <w:r w:rsidRPr="00993F0C">
                    <w:rPr>
                      <w:sz w:val="21"/>
                      <w:szCs w:val="21"/>
                    </w:rPr>
                    <w:t>ты, услуги, не подлежащие налогообложению (освобождаемые от налогообложения) налогом на доба</w:t>
                  </w:r>
                  <w:r w:rsidRPr="00993F0C">
                    <w:rPr>
                      <w:sz w:val="21"/>
                      <w:szCs w:val="21"/>
                    </w:rPr>
                    <w:t>в</w:t>
                  </w:r>
                  <w:r w:rsidRPr="00993F0C">
                    <w:rPr>
                      <w:sz w:val="21"/>
                      <w:szCs w:val="21"/>
                    </w:rPr>
                    <w:t>ленную стоимость);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форма расчета (оплата наличными деньгами и (или) в безналичном порядке), а также сумма оплаты н</w:t>
                  </w:r>
                  <w:r w:rsidRPr="00993F0C">
                    <w:rPr>
                      <w:sz w:val="21"/>
                      <w:szCs w:val="21"/>
                    </w:rPr>
                    <w:t>а</w:t>
                  </w:r>
                  <w:r w:rsidRPr="00993F0C">
                    <w:rPr>
                      <w:sz w:val="21"/>
                      <w:szCs w:val="21"/>
                    </w:rPr>
                    <w:t>личными деньгами и (или) в безналичном порядке;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должность и фамилия лица, осуществившего расчет с покупателем (клиентом), оформившего кассовый чек или бланк строгой отчетности и выдавшего (передавшего) его покупателю (клиенту) (за исключ</w:t>
                  </w:r>
                  <w:r w:rsidRPr="00993F0C">
                    <w:rPr>
                      <w:sz w:val="21"/>
                      <w:szCs w:val="21"/>
                    </w:rPr>
                    <w:t>е</w:t>
                  </w:r>
                  <w:r w:rsidRPr="00993F0C">
                    <w:rPr>
                      <w:sz w:val="21"/>
                      <w:szCs w:val="21"/>
                    </w:rPr>
                    <w:t>нием расчетов, осуществленных с использованием автоматических устройств для расчетов, применя</w:t>
                  </w:r>
                  <w:r w:rsidRPr="00993F0C">
                    <w:rPr>
                      <w:sz w:val="21"/>
                      <w:szCs w:val="21"/>
                    </w:rPr>
                    <w:t>е</w:t>
                  </w:r>
                  <w:r w:rsidRPr="00993F0C">
                    <w:rPr>
                      <w:sz w:val="21"/>
                      <w:szCs w:val="21"/>
                    </w:rPr>
                    <w:t>мых в том числе при осуществлении расчетов в безналичном порядке в сети "Инте</w:t>
                  </w:r>
                  <w:r w:rsidRPr="00993F0C">
                    <w:rPr>
                      <w:sz w:val="21"/>
                      <w:szCs w:val="21"/>
                    </w:rPr>
                    <w:t>р</w:t>
                  </w:r>
                  <w:r w:rsidRPr="00993F0C">
                    <w:rPr>
                      <w:sz w:val="21"/>
                      <w:szCs w:val="21"/>
                    </w:rPr>
                    <w:t>нет");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регистрационный номер контрольно-кассовой техники;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заводской номер экземпляра модели фискального накопителя;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фискальный признак документа;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адрес сайта уполномоченного органа в сети "Интернет", на котором может быть осуществлена проверка фа</w:t>
                  </w:r>
                  <w:r w:rsidRPr="00993F0C">
                    <w:rPr>
                      <w:sz w:val="21"/>
                      <w:szCs w:val="21"/>
                    </w:rPr>
                    <w:t>к</w:t>
                  </w:r>
                  <w:r w:rsidRPr="00993F0C">
                    <w:rPr>
                      <w:sz w:val="21"/>
                      <w:szCs w:val="21"/>
                    </w:rPr>
                    <w:t>та записи этого расчета и подлинности фискального признака;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абонентский номер либо адрес электронной почты покупателя (клиента) в случае передачи ему касс</w:t>
                  </w:r>
                  <w:r w:rsidRPr="00993F0C">
                    <w:rPr>
                      <w:sz w:val="21"/>
                      <w:szCs w:val="21"/>
                    </w:rPr>
                    <w:t>о</w:t>
                  </w:r>
                  <w:r w:rsidRPr="00993F0C">
                    <w:rPr>
                      <w:sz w:val="21"/>
                      <w:szCs w:val="21"/>
                    </w:rPr>
                    <w:t>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</w:t>
                  </w:r>
                  <w:r w:rsidRPr="00993F0C">
                    <w:rPr>
                      <w:sz w:val="21"/>
                      <w:szCs w:val="21"/>
                    </w:rPr>
                    <w:t>н</w:t>
                  </w:r>
                  <w:r w:rsidRPr="00993F0C">
                    <w:rPr>
                      <w:sz w:val="21"/>
                      <w:szCs w:val="21"/>
                    </w:rPr>
                    <w:t>ного ресурса в сети "Интернет", на котором такой документ может быть получен;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адрес электронной почты отправителя кассового чека или бланка строгой отчетности в электронной форме в случае передачи покупателю (клиенту) кассового чека или бланка строгой отчетности в эле</w:t>
                  </w:r>
                  <w:r w:rsidRPr="00993F0C">
                    <w:rPr>
                      <w:sz w:val="21"/>
                      <w:szCs w:val="21"/>
                    </w:rPr>
                    <w:t>к</w:t>
                  </w:r>
                  <w:r w:rsidRPr="00993F0C">
                    <w:rPr>
                      <w:sz w:val="21"/>
                      <w:szCs w:val="21"/>
                    </w:rPr>
                    <w:t>тронной форме;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порядковый номер фискального документа;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номер смены;</w:t>
                  </w:r>
                </w:p>
                <w:p w:rsidR="00993F0C" w:rsidRPr="00993F0C" w:rsidRDefault="00993F0C" w:rsidP="00BB5D8C">
                  <w:pPr>
                    <w:pStyle w:val="ConsPlusNormal"/>
                    <w:numPr>
                      <w:ilvl w:val="0"/>
                      <w:numId w:val="2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фискальный признак сообщения (для кассового чека или бланка строгой отчетности, хранимых в фи</w:t>
                  </w:r>
                  <w:r w:rsidRPr="00993F0C">
                    <w:rPr>
                      <w:sz w:val="21"/>
                      <w:szCs w:val="21"/>
                    </w:rPr>
                    <w:t>с</w:t>
                  </w:r>
                  <w:r w:rsidRPr="00993F0C">
                    <w:rPr>
                      <w:sz w:val="21"/>
                      <w:szCs w:val="21"/>
                    </w:rPr>
                    <w:t>кальном накопителе или передаваемых оператору фискальных данных);</w:t>
                  </w:r>
                </w:p>
                <w:p w:rsidR="00993F0C" w:rsidRPr="00993F0C" w:rsidRDefault="00993F0C" w:rsidP="00B32E91">
                  <w:pPr>
                    <w:pStyle w:val="ConsPlusNormal"/>
                    <w:numPr>
                      <w:ilvl w:val="0"/>
                      <w:numId w:val="1"/>
                    </w:numPr>
                    <w:jc w:val="both"/>
                    <w:rPr>
                      <w:sz w:val="21"/>
                      <w:szCs w:val="21"/>
                    </w:rPr>
                  </w:pPr>
                  <w:r w:rsidRPr="00993F0C">
                    <w:rPr>
                      <w:sz w:val="21"/>
                      <w:szCs w:val="21"/>
                    </w:rPr>
                    <w:t>QR-код.</w:t>
                  </w:r>
                </w:p>
                <w:p w:rsidR="00993F0C" w:rsidRDefault="00993F0C" w:rsidP="00B32E91">
                  <w:pPr>
                    <w:pStyle w:val="ConsPlusNormal"/>
                    <w:ind w:left="720"/>
                    <w:jc w:val="both"/>
                    <w:rPr>
                      <w:sz w:val="20"/>
                    </w:rPr>
                  </w:pPr>
                </w:p>
                <w:p w:rsidR="00993F0C" w:rsidRPr="00B31DCC" w:rsidRDefault="00993F0C" w:rsidP="00993F0C">
                  <w:pPr>
                    <w:pStyle w:val="ConsPlusNormal"/>
                    <w:jc w:val="right"/>
                    <w:rPr>
                      <w:b/>
                      <w:sz w:val="20"/>
                    </w:rPr>
                  </w:pPr>
                  <w:r w:rsidRPr="00B31DCC">
                    <w:rPr>
                      <w:b/>
                      <w:sz w:val="20"/>
                    </w:rPr>
                    <w:t xml:space="preserve">Федеральный закон от 22.05.2003 № 54-ФЗ (ред. от 27.12.2019) </w:t>
                  </w:r>
                  <w:r>
                    <w:rPr>
                      <w:b/>
                      <w:sz w:val="20"/>
                    </w:rPr>
                    <w:br/>
                  </w:r>
                  <w:r w:rsidRPr="00B31DCC">
                    <w:rPr>
                      <w:b/>
                      <w:sz w:val="20"/>
                    </w:rPr>
                    <w:t>«О применении контрольно-кассовой техники при осуществлении расчетов в Российской Федерации</w:t>
                  </w:r>
                  <w:r>
                    <w:rPr>
                      <w:b/>
                      <w:sz w:val="20"/>
                    </w:rPr>
                    <w:t>»</w:t>
                  </w:r>
                  <w:r>
                    <w:rPr>
                      <w:b/>
                      <w:sz w:val="20"/>
                    </w:rPr>
                    <w:br/>
                  </w:r>
                  <w:r w:rsidRPr="00B31DCC">
                    <w:rPr>
                      <w:b/>
                      <w:sz w:val="20"/>
                    </w:rPr>
                    <w:t>(с изм. и доп., вступ. в силу с 27.07.2020)</w:t>
                  </w:r>
                </w:p>
              </w:txbxContent>
            </v:textbox>
            <w10:wrap type="square" anchorx="margin" anchory="margin"/>
          </v:shape>
        </w:pict>
      </w:r>
      <w:r w:rsidR="00BB5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7903A5" w:rsidRPr="007903A5" w:rsidRDefault="0081496F" w:rsidP="00554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96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pict>
          <v:shape id="AutoShape 13" o:spid="_x0000_s1028" type="#_x0000_t65" style="position:absolute;left:0;text-align:left;margin-left:15.75pt;margin-top:25.8pt;width:431.1pt;height:77.1pt;z-index:251664384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" o:allowincell="f" fillcolor="#cf7b79 [2421]" strokecolor="#969696" strokeweight=".5pt">
            <v:fill opacity="19789f"/>
            <v:textbox inset="10.8pt,7.2pt,10.8pt">
              <w:txbxContent>
                <w:p w:rsidR="00993F0C" w:rsidRPr="00783D78" w:rsidRDefault="00993F0C" w:rsidP="00993F0C">
                  <w:pPr>
                    <w:spacing w:after="0" w:line="240" w:lineRule="auto"/>
                    <w:jc w:val="both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783D78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При фактической реализации мероприятия с учетом допустимого объема перемещения средств субсидии не допускается расходование средств  на призы, стоимость которых превышает 4 000 рублей на одного участника</w:t>
                  </w:r>
                </w:p>
              </w:txbxContent>
            </v:textbox>
            <w10:wrap type="square" anchorx="margin" anchory="margin"/>
          </v:shape>
        </w:pict>
      </w:r>
      <w:r w:rsidR="00182D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 w:rsidR="00993F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3A5" w:rsidRPr="0079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Приобретение призов</w:t>
      </w:r>
      <w:r w:rsidR="00554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подарков в целях награждения</w:t>
      </w:r>
    </w:p>
    <w:p w:rsidR="00A168C8" w:rsidRDefault="00A168C8" w:rsidP="0070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68C8" w:rsidRDefault="007903A5" w:rsidP="005546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0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оформления списания материальных ценностей, прио</w:t>
      </w:r>
      <w:r w:rsidRPr="007059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5905">
        <w:rPr>
          <w:rFonts w:ascii="Times New Roman" w:eastAsia="Times New Roman" w:hAnsi="Times New Roman" w:cs="Times New Roman"/>
          <w:color w:val="000000"/>
          <w:sz w:val="28"/>
          <w:szCs w:val="28"/>
        </w:rPr>
        <w:t>ретаемых в целях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вручения призов (награждения) (в том ч</w:t>
      </w:r>
      <w:r w:rsidR="00A168C8">
        <w:rPr>
          <w:rFonts w:ascii="Times New Roman" w:eastAsia="Times New Roman" w:hAnsi="Times New Roman" w:cs="Times New Roman"/>
          <w:color w:val="000000"/>
          <w:sz w:val="28"/>
          <w:szCs w:val="28"/>
        </w:rPr>
        <w:t>исле ценные подарки, сувениры).</w:t>
      </w:r>
    </w:p>
    <w:p w:rsidR="007903A5" w:rsidRPr="007903A5" w:rsidRDefault="007903A5" w:rsidP="00A16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 могут быть:</w:t>
      </w:r>
    </w:p>
    <w:p w:rsidR="007903A5" w:rsidRPr="007903A5" w:rsidRDefault="007903A5" w:rsidP="00A16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ведомость</w:t>
      </w:r>
      <w:r w:rsid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акт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выдачу призов с подписями получателей (за исключением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в возрасте до 14 лет), подписью председат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некоммерческой организации и печатью организации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преамбуле места и даты проведения мероприяти</w:t>
      </w:r>
      <w:r w:rsidR="00182D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903A5" w:rsidRPr="007903A5" w:rsidRDefault="007903A5" w:rsidP="0070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на проведение мероприятия;</w:t>
      </w:r>
    </w:p>
    <w:p w:rsidR="007903A5" w:rsidRPr="007903A5" w:rsidRDefault="007903A5" w:rsidP="0070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мероприятия;</w:t>
      </w:r>
    </w:p>
    <w:p w:rsidR="007903A5" w:rsidRPr="007903A5" w:rsidRDefault="007903A5" w:rsidP="00242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утвержденный конкурсной комиссией протокол с приложением списка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</w:t>
      </w:r>
      <w:r w:rsidR="00993F0C">
        <w:rPr>
          <w:rFonts w:ascii="Times New Roman" w:eastAsia="Times New Roman" w:hAnsi="Times New Roman" w:cs="Times New Roman"/>
          <w:color w:val="000000"/>
          <w:sz w:val="28"/>
          <w:szCs w:val="28"/>
        </w:rPr>
        <w:t>лей, которым были вручены призы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(Письмо Минфина России от 04.10.2013№ 02-05-10/41316).</w:t>
      </w:r>
    </w:p>
    <w:p w:rsidR="00123037" w:rsidRDefault="00123037" w:rsidP="00A765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65D" w:rsidRDefault="00182D95" w:rsidP="002A2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2A26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Подтверждение</w:t>
      </w:r>
      <w:r w:rsidR="007903A5" w:rsidRPr="0079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расходов на оплату выполненных работ</w:t>
      </w:r>
      <w:r w:rsidR="00783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3A5" w:rsidRPr="0079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 ок</w:t>
      </w:r>
      <w:r w:rsidR="007903A5" w:rsidRPr="0079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903A5" w:rsidRPr="0079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занных услуг</w:t>
      </w:r>
      <w:r w:rsidR="00783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6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(например, услуги ведущего)</w:t>
      </w:r>
    </w:p>
    <w:p w:rsidR="002A265D" w:rsidRPr="002A265D" w:rsidRDefault="002A265D" w:rsidP="002A26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3A5" w:rsidRPr="002A265D" w:rsidRDefault="002A265D" w:rsidP="002A26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65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903A5" w:rsidRPr="002A265D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редоставляются копии следующих документов:</w:t>
      </w:r>
    </w:p>
    <w:p w:rsidR="007903A5" w:rsidRPr="007903A5" w:rsidRDefault="002A27EC" w:rsidP="0070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903A5"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оговор;</w:t>
      </w:r>
    </w:p>
    <w:p w:rsidR="007903A5" w:rsidRPr="007903A5" w:rsidRDefault="007903A5" w:rsidP="0070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на оплату (при наличии);</w:t>
      </w:r>
    </w:p>
    <w:p w:rsidR="007903A5" w:rsidRPr="007903A5" w:rsidRDefault="007903A5" w:rsidP="00705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 </w:t>
      </w:r>
      <w:r w:rsidR="00D23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приемки 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выполненных работ или оказанных услуг;</w:t>
      </w:r>
    </w:p>
    <w:p w:rsidR="003A2DE5" w:rsidRPr="00080999" w:rsidRDefault="007903A5" w:rsidP="00080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платежное поручение (безналичный расчет) или квитанция к </w:t>
      </w:r>
      <w:r w:rsidR="002A265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A26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A265D">
        <w:rPr>
          <w:rFonts w:ascii="Times New Roman" w:eastAsia="Times New Roman" w:hAnsi="Times New Roman" w:cs="Times New Roman"/>
          <w:color w:val="000000"/>
          <w:sz w:val="28"/>
          <w:szCs w:val="28"/>
        </w:rPr>
        <w:t>ходно-кассовому ордеру</w:t>
      </w:r>
      <w:r w:rsidRPr="007903A5">
        <w:rPr>
          <w:rFonts w:ascii="Times New Roman" w:eastAsia="Times New Roman" w:hAnsi="Times New Roman" w:cs="Times New Roman"/>
          <w:color w:val="000000"/>
          <w:sz w:val="28"/>
          <w:szCs w:val="28"/>
        </w:rPr>
        <w:t>, кассовый чек(наличный расчет);</w:t>
      </w:r>
    </w:p>
    <w:p w:rsidR="00242407" w:rsidRPr="00242407" w:rsidRDefault="00242407" w:rsidP="00080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Перечисленные налоги необходимо указать в отчете о расходах отдельно с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детальным расчетом, приложить ксерокопии платежных п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ручений.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НДФЛ перечисляется в бюджет не позднее дня выплаты во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награждения. При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снятии наличных с расчетного счета для выдачи во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награждения нали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ными, НДФЛ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перечисляется в день снятия </w:t>
      </w:r>
      <w:r w:rsidR="00BC5FD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выдаче вознагражд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из имеющихся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наличных средств, НДФЛ перечисляется не позднее следующего дня после выплаты</w:t>
      </w:r>
      <w:r w:rsidR="00783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вознагра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42407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дения.</w:t>
      </w:r>
    </w:p>
    <w:p w:rsidR="007E6AF8" w:rsidRPr="00080999" w:rsidRDefault="007E6AF8" w:rsidP="00080999">
      <w:pPr>
        <w:pStyle w:val="ConsPlusNormal"/>
        <w:ind w:firstLine="709"/>
        <w:jc w:val="both"/>
        <w:rPr>
          <w:szCs w:val="28"/>
        </w:rPr>
      </w:pPr>
    </w:p>
    <w:p w:rsidR="00BC5FDD" w:rsidRDefault="00BC5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0999" w:rsidRPr="00F76571" w:rsidRDefault="00CE2B50" w:rsidP="00BC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B50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993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571" w:rsidRPr="00CE2B50">
        <w:rPr>
          <w:rFonts w:ascii="Times New Roman" w:hAnsi="Times New Roman" w:cs="Times New Roman"/>
          <w:b/>
          <w:sz w:val="28"/>
          <w:szCs w:val="28"/>
        </w:rPr>
        <w:t>Примеры</w:t>
      </w:r>
      <w:r w:rsidR="00F76571" w:rsidRPr="00F76571">
        <w:rPr>
          <w:rFonts w:ascii="Times New Roman" w:hAnsi="Times New Roman" w:cs="Times New Roman"/>
          <w:b/>
          <w:sz w:val="28"/>
          <w:szCs w:val="28"/>
        </w:rPr>
        <w:t xml:space="preserve"> выплат заработной платы по договору</w:t>
      </w:r>
    </w:p>
    <w:p w:rsidR="00F76571" w:rsidRDefault="00F76571" w:rsidP="0008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00" w:type="dxa"/>
        <w:tblInd w:w="-638" w:type="dxa"/>
        <w:tblLook w:val="04A0"/>
      </w:tblPr>
      <w:tblGrid>
        <w:gridCol w:w="2103"/>
        <w:gridCol w:w="2104"/>
        <w:gridCol w:w="1392"/>
        <w:gridCol w:w="2102"/>
        <w:gridCol w:w="1283"/>
        <w:gridCol w:w="1116"/>
      </w:tblGrid>
      <w:tr w:rsidR="00D42700" w:rsidTr="005A4C55">
        <w:trPr>
          <w:trHeight w:val="1384"/>
        </w:trPr>
        <w:tc>
          <w:tcPr>
            <w:tcW w:w="2103" w:type="dxa"/>
            <w:vMerge w:val="restart"/>
          </w:tcPr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вознаграждения физическому лицу за оказанные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луги по смете, руб.</w:t>
            </w:r>
          </w:p>
        </w:tc>
        <w:tc>
          <w:tcPr>
            <w:tcW w:w="2104" w:type="dxa"/>
            <w:vMerge w:val="restart"/>
          </w:tcPr>
          <w:p w:rsidR="00D42700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вознаграждения физ. лицу (начисления по догов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ру), руб.</w:t>
            </w:r>
          </w:p>
        </w:tc>
        <w:tc>
          <w:tcPr>
            <w:tcW w:w="1392" w:type="dxa"/>
            <w:vMerge w:val="restart"/>
          </w:tcPr>
          <w:p w:rsidR="00D7753A" w:rsidRDefault="00D7753A" w:rsidP="00D77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НДФЛ, руб.</w:t>
            </w:r>
          </w:p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</w:tcPr>
          <w:p w:rsidR="00D7753A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вознаграждения физ. Лицу без учета выплат НДФЛ и страховых взносов, руб. (на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ки)</w:t>
            </w:r>
          </w:p>
        </w:tc>
        <w:tc>
          <w:tcPr>
            <w:tcW w:w="2398" w:type="dxa"/>
            <w:gridSpan w:val="2"/>
          </w:tcPr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Страховые взносы во внебюджетные фонды, руб.</w:t>
            </w:r>
            <w:r w:rsidR="003D7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A4C55">
              <w:rPr>
                <w:rFonts w:ascii="Times New Roman" w:hAnsi="Times New Roman" w:cs="Times New Roman"/>
                <w:b/>
                <w:sz w:val="24"/>
                <w:szCs w:val="24"/>
              </w:rPr>
              <w:t>сумма уплаты в налоговые органы вычитается из 1 коло</w:t>
            </w:r>
            <w:r w:rsidR="005A4C5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A4C55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r w:rsidR="003D7E5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700" w:rsidTr="005A4C55">
        <w:trPr>
          <w:trHeight w:val="241"/>
        </w:trPr>
        <w:tc>
          <w:tcPr>
            <w:tcW w:w="2103" w:type="dxa"/>
            <w:vMerge/>
          </w:tcPr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ФФОМС 5,1 %</w:t>
            </w:r>
          </w:p>
        </w:tc>
        <w:tc>
          <w:tcPr>
            <w:tcW w:w="1116" w:type="dxa"/>
          </w:tcPr>
          <w:p w:rsidR="00D42700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ПФР 22%</w:t>
            </w:r>
          </w:p>
        </w:tc>
      </w:tr>
      <w:tr w:rsidR="00BC5FDD" w:rsidTr="005A4C55">
        <w:trPr>
          <w:trHeight w:val="241"/>
        </w:trPr>
        <w:tc>
          <w:tcPr>
            <w:tcW w:w="2103" w:type="dxa"/>
          </w:tcPr>
          <w:p w:rsidR="00BC5FDD" w:rsidRDefault="00BC5FDD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BC5FDD" w:rsidRDefault="00BC5FDD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BC5FDD" w:rsidRDefault="00BC5FDD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BC5FDD" w:rsidRDefault="00BC5FDD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BC5FDD" w:rsidRDefault="00BC5FDD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BC5FDD" w:rsidRDefault="00BC5FDD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436F7" w:rsidTr="005A4C55">
        <w:trPr>
          <w:trHeight w:val="462"/>
        </w:trPr>
        <w:tc>
          <w:tcPr>
            <w:tcW w:w="2103" w:type="dxa"/>
          </w:tcPr>
          <w:p w:rsidR="00080999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  <w:tc>
          <w:tcPr>
            <w:tcW w:w="2104" w:type="dxa"/>
          </w:tcPr>
          <w:p w:rsidR="00080999" w:rsidRPr="005A4C55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7 867,82</w:t>
            </w:r>
          </w:p>
        </w:tc>
        <w:tc>
          <w:tcPr>
            <w:tcW w:w="1392" w:type="dxa"/>
          </w:tcPr>
          <w:p w:rsidR="00080999" w:rsidRPr="005A4C55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1023,00</w:t>
            </w:r>
          </w:p>
        </w:tc>
        <w:tc>
          <w:tcPr>
            <w:tcW w:w="2102" w:type="dxa"/>
          </w:tcPr>
          <w:p w:rsidR="00080999" w:rsidRPr="005A4C55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6 844,82</w:t>
            </w:r>
          </w:p>
        </w:tc>
        <w:tc>
          <w:tcPr>
            <w:tcW w:w="1283" w:type="dxa"/>
          </w:tcPr>
          <w:p w:rsidR="00080999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401,26</w:t>
            </w:r>
          </w:p>
        </w:tc>
        <w:tc>
          <w:tcPr>
            <w:tcW w:w="1116" w:type="dxa"/>
          </w:tcPr>
          <w:p w:rsidR="00080999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1730,92</w:t>
            </w:r>
          </w:p>
        </w:tc>
      </w:tr>
      <w:tr w:rsidR="007436F7" w:rsidTr="005A4C55">
        <w:trPr>
          <w:trHeight w:val="441"/>
        </w:trPr>
        <w:tc>
          <w:tcPr>
            <w:tcW w:w="2103" w:type="dxa"/>
          </w:tcPr>
          <w:p w:rsidR="00080999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20 000,00</w:t>
            </w:r>
          </w:p>
        </w:tc>
        <w:tc>
          <w:tcPr>
            <w:tcW w:w="2104" w:type="dxa"/>
          </w:tcPr>
          <w:p w:rsidR="00080999" w:rsidRPr="005A4C55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15 735,64</w:t>
            </w:r>
          </w:p>
        </w:tc>
        <w:tc>
          <w:tcPr>
            <w:tcW w:w="1392" w:type="dxa"/>
          </w:tcPr>
          <w:p w:rsidR="00A76544" w:rsidRPr="005A4C55" w:rsidRDefault="00D7753A" w:rsidP="00A7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2046,00</w:t>
            </w:r>
          </w:p>
        </w:tc>
        <w:tc>
          <w:tcPr>
            <w:tcW w:w="2102" w:type="dxa"/>
          </w:tcPr>
          <w:p w:rsidR="00080999" w:rsidRPr="005A4C55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13 689,64</w:t>
            </w:r>
          </w:p>
        </w:tc>
        <w:tc>
          <w:tcPr>
            <w:tcW w:w="1283" w:type="dxa"/>
          </w:tcPr>
          <w:p w:rsidR="00080999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802,52</w:t>
            </w:r>
          </w:p>
        </w:tc>
        <w:tc>
          <w:tcPr>
            <w:tcW w:w="1116" w:type="dxa"/>
          </w:tcPr>
          <w:p w:rsidR="00080999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3 461,84</w:t>
            </w:r>
          </w:p>
        </w:tc>
      </w:tr>
      <w:tr w:rsidR="00A76544" w:rsidTr="005A4C55">
        <w:trPr>
          <w:trHeight w:val="462"/>
        </w:trPr>
        <w:tc>
          <w:tcPr>
            <w:tcW w:w="2103" w:type="dxa"/>
          </w:tcPr>
          <w:p w:rsidR="00352D2A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30 000,00</w:t>
            </w:r>
          </w:p>
        </w:tc>
        <w:tc>
          <w:tcPr>
            <w:tcW w:w="2104" w:type="dxa"/>
          </w:tcPr>
          <w:p w:rsidR="00352D2A" w:rsidRPr="005A4C55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23 603,46</w:t>
            </w:r>
          </w:p>
        </w:tc>
        <w:tc>
          <w:tcPr>
            <w:tcW w:w="1392" w:type="dxa"/>
          </w:tcPr>
          <w:p w:rsidR="00352D2A" w:rsidRPr="005A4C55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3068,00</w:t>
            </w:r>
          </w:p>
        </w:tc>
        <w:tc>
          <w:tcPr>
            <w:tcW w:w="2102" w:type="dxa"/>
          </w:tcPr>
          <w:p w:rsidR="00352D2A" w:rsidRPr="005A4C55" w:rsidRDefault="00D7753A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20 535,45</w:t>
            </w:r>
          </w:p>
        </w:tc>
        <w:tc>
          <w:tcPr>
            <w:tcW w:w="1283" w:type="dxa"/>
          </w:tcPr>
          <w:p w:rsidR="00352D2A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1203,78</w:t>
            </w:r>
          </w:p>
        </w:tc>
        <w:tc>
          <w:tcPr>
            <w:tcW w:w="1116" w:type="dxa"/>
          </w:tcPr>
          <w:p w:rsidR="00352D2A" w:rsidRPr="005A4C55" w:rsidRDefault="00D42700" w:rsidP="00D42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C55">
              <w:rPr>
                <w:rFonts w:ascii="Times New Roman" w:hAnsi="Times New Roman" w:cs="Times New Roman"/>
                <w:b/>
                <w:sz w:val="24"/>
                <w:szCs w:val="24"/>
              </w:rPr>
              <w:t>5192,76</w:t>
            </w:r>
          </w:p>
        </w:tc>
      </w:tr>
    </w:tbl>
    <w:p w:rsidR="00D054DF" w:rsidRDefault="00D054DF" w:rsidP="00D427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65E" w:rsidRPr="007E286E" w:rsidRDefault="00CE2B50" w:rsidP="00BC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05C0D">
        <w:rPr>
          <w:rFonts w:ascii="Times New Roman" w:hAnsi="Times New Roman" w:cs="Times New Roman"/>
          <w:b/>
          <w:sz w:val="28"/>
          <w:szCs w:val="28"/>
        </w:rPr>
        <w:t> </w:t>
      </w:r>
      <w:r w:rsidR="0097165E" w:rsidRPr="007E286E">
        <w:rPr>
          <w:rFonts w:ascii="Times New Roman" w:hAnsi="Times New Roman" w:cs="Times New Roman"/>
          <w:b/>
          <w:sz w:val="28"/>
          <w:szCs w:val="28"/>
        </w:rPr>
        <w:t>Примерный перечень расходов</w:t>
      </w:r>
    </w:p>
    <w:p w:rsidR="00F76571" w:rsidRDefault="0097165E" w:rsidP="00BC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6E">
        <w:rPr>
          <w:rFonts w:ascii="Times New Roman" w:hAnsi="Times New Roman" w:cs="Times New Roman"/>
          <w:b/>
          <w:sz w:val="28"/>
          <w:szCs w:val="28"/>
        </w:rPr>
        <w:t>и необходимых подтверждающих документов</w:t>
      </w:r>
    </w:p>
    <w:p w:rsidR="005842B4" w:rsidRDefault="005842B4" w:rsidP="005842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65E" w:rsidRDefault="005842B4" w:rsidP="00993F0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</w:pPr>
      <w:r w:rsidRPr="006F3718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Рекомендуется использовать ти</w:t>
      </w:r>
      <w:r w:rsidR="00FC4F05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повые формы отчетных докуме</w:t>
      </w:r>
      <w:r w:rsidR="00FC4F05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н</w:t>
      </w:r>
      <w:r w:rsidR="00FC4F05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 xml:space="preserve">тов, размещенных в </w:t>
      </w:r>
      <w:r w:rsidR="00671B24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некомм</w:t>
      </w:r>
      <w:r w:rsidR="00FC4F05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ерческой интернет-версии</w:t>
      </w:r>
      <w:r w:rsidR="00993F0C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 xml:space="preserve"> </w:t>
      </w:r>
      <w:r w:rsidR="00671B24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 xml:space="preserve">системы </w:t>
      </w:r>
      <w:r w:rsidRPr="006F3718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«КонсультантПлюс»</w:t>
      </w:r>
      <w:r w:rsidR="00993F0C"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  <w:t>.</w:t>
      </w:r>
    </w:p>
    <w:p w:rsidR="00993F0C" w:rsidRPr="00E25537" w:rsidRDefault="00993F0C" w:rsidP="00993F0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i/>
          <w:iCs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581"/>
        <w:gridCol w:w="5301"/>
      </w:tblGrid>
      <w:tr w:rsidR="0097165E" w:rsidRPr="0097165E" w:rsidTr="004A37AC">
        <w:tc>
          <w:tcPr>
            <w:tcW w:w="3794" w:type="dxa"/>
          </w:tcPr>
          <w:p w:rsidR="0097165E" w:rsidRPr="0097165E" w:rsidRDefault="00E05C0D" w:rsidP="00D42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97165E" w:rsidRPr="0097165E" w:rsidRDefault="0097165E" w:rsidP="00D42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статьи расходов</w:t>
            </w:r>
          </w:p>
        </w:tc>
        <w:tc>
          <w:tcPr>
            <w:tcW w:w="5777" w:type="dxa"/>
          </w:tcPr>
          <w:p w:rsidR="0097165E" w:rsidRPr="0097165E" w:rsidRDefault="0097165E" w:rsidP="00D427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6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Подтверждающие документы</w:t>
            </w:r>
          </w:p>
        </w:tc>
      </w:tr>
      <w:tr w:rsidR="0097165E" w:rsidRPr="0097165E" w:rsidTr="004A37AC">
        <w:tc>
          <w:tcPr>
            <w:tcW w:w="3794" w:type="dxa"/>
          </w:tcPr>
          <w:p w:rsidR="0097165E" w:rsidRPr="0097165E" w:rsidRDefault="0097165E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5E">
              <w:rPr>
                <w:rFonts w:ascii="Times New Roman" w:hAnsi="Times New Roman" w:cs="Times New Roman"/>
                <w:sz w:val="28"/>
                <w:szCs w:val="28"/>
              </w:rPr>
              <w:t>Аренда помещения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 xml:space="preserve"> (оборудования)</w:t>
            </w:r>
            <w:r w:rsidRPr="0097165E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м</w:t>
            </w:r>
            <w:r w:rsidRPr="009716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65E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5777" w:type="dxa"/>
          </w:tcPr>
          <w:p w:rsidR="0097165E" w:rsidRPr="0097165E" w:rsidRDefault="0097165E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5E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об аренде, 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платежное 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чение, акт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помещения (обор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дования)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приходный кассовый ордер</w:t>
            </w:r>
          </w:p>
        </w:tc>
      </w:tr>
      <w:tr w:rsidR="0097165E" w:rsidRPr="0097165E" w:rsidTr="004A37AC">
        <w:tc>
          <w:tcPr>
            <w:tcW w:w="3794" w:type="dxa"/>
          </w:tcPr>
          <w:p w:rsidR="0097165E" w:rsidRPr="0097165E" w:rsidRDefault="0097165E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65E">
              <w:rPr>
                <w:rFonts w:ascii="Times New Roman" w:hAnsi="Times New Roman" w:cs="Times New Roman"/>
                <w:sz w:val="28"/>
                <w:szCs w:val="28"/>
              </w:rPr>
              <w:t>Издание печатной проду</w:t>
            </w:r>
            <w:r w:rsidRPr="009716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165E">
              <w:rPr>
                <w:rFonts w:ascii="Times New Roman" w:hAnsi="Times New Roman" w:cs="Times New Roman"/>
                <w:sz w:val="28"/>
                <w:szCs w:val="28"/>
              </w:rPr>
              <w:t>ции (буклеты, брошюры и пр.)</w:t>
            </w:r>
          </w:p>
        </w:tc>
        <w:tc>
          <w:tcPr>
            <w:tcW w:w="5777" w:type="dxa"/>
          </w:tcPr>
          <w:p w:rsidR="0097165E" w:rsidRPr="0097165E" w:rsidRDefault="0097165E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Договор, счёт-фактуры, акт выполненных работ и приходный кассовый. Акт на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сание или 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вручение</w:t>
            </w:r>
          </w:p>
        </w:tc>
      </w:tr>
      <w:tr w:rsidR="0097165E" w:rsidRPr="0097165E" w:rsidTr="004A37AC">
        <w:tc>
          <w:tcPr>
            <w:tcW w:w="3794" w:type="dxa"/>
          </w:tcPr>
          <w:p w:rsidR="0097165E" w:rsidRPr="0097165E" w:rsidRDefault="0097165E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залов,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док, экспозиций</w:t>
            </w:r>
          </w:p>
        </w:tc>
        <w:tc>
          <w:tcPr>
            <w:tcW w:w="5777" w:type="dxa"/>
          </w:tcPr>
          <w:p w:rsidR="0097165E" w:rsidRPr="0097165E" w:rsidRDefault="0097165E" w:rsidP="00562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Товарный и кассовый </w:t>
            </w:r>
            <w:r w:rsidRPr="00783D78">
              <w:rPr>
                <w:rFonts w:ascii="Times New Roman" w:hAnsi="Times New Roman" w:cs="Times New Roman"/>
                <w:sz w:val="28"/>
                <w:szCs w:val="28"/>
              </w:rPr>
              <w:t>чеки</w:t>
            </w:r>
            <w:r w:rsidR="00783D78" w:rsidRPr="00783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469" w:rsidRPr="00783D78">
              <w:rPr>
                <w:rFonts w:ascii="Times New Roman" w:hAnsi="Times New Roman" w:cs="Times New Roman"/>
                <w:sz w:val="28"/>
                <w:szCs w:val="28"/>
              </w:rPr>
              <w:t>(или платежное поручение),</w:t>
            </w:r>
            <w:r w:rsidR="001F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счёт–фактура, акт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 xml:space="preserve"> приемки </w:t>
            </w:r>
            <w:r w:rsidR="004A37AC">
              <w:rPr>
                <w:rFonts w:ascii="Times New Roman" w:hAnsi="Times New Roman" w:cs="Times New Roman"/>
                <w:sz w:val="28"/>
                <w:szCs w:val="28"/>
              </w:rPr>
              <w:t>оказанных услуг и приходный касс</w:t>
            </w:r>
            <w:r w:rsidR="004A37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37AC">
              <w:rPr>
                <w:rFonts w:ascii="Times New Roman" w:hAnsi="Times New Roman" w:cs="Times New Roman"/>
                <w:sz w:val="28"/>
                <w:szCs w:val="28"/>
              </w:rPr>
              <w:t>вый ордер</w:t>
            </w:r>
          </w:p>
        </w:tc>
      </w:tr>
      <w:tr w:rsidR="0097165E" w:rsidRPr="0097165E" w:rsidTr="004A37AC">
        <w:tc>
          <w:tcPr>
            <w:tcW w:w="3794" w:type="dxa"/>
          </w:tcPr>
          <w:p w:rsidR="0097165E" w:rsidRPr="0097165E" w:rsidRDefault="004A37AC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</w:t>
            </w:r>
          </w:p>
        </w:tc>
        <w:tc>
          <w:tcPr>
            <w:tcW w:w="5777" w:type="dxa"/>
          </w:tcPr>
          <w:p w:rsidR="0097165E" w:rsidRPr="0097165E" w:rsidRDefault="004A37AC" w:rsidP="00562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Товарный и кассовые чеки, или счёт–фактура, накла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дная и приходный кассовый ордер, пл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тежное поручение</w:t>
            </w:r>
          </w:p>
        </w:tc>
      </w:tr>
      <w:tr w:rsidR="0097165E" w:rsidRPr="0097165E" w:rsidTr="004A37AC">
        <w:tc>
          <w:tcPr>
            <w:tcW w:w="3794" w:type="dxa"/>
          </w:tcPr>
          <w:p w:rsidR="0097165E" w:rsidRPr="0097165E" w:rsidRDefault="004A37AC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777" w:type="dxa"/>
          </w:tcPr>
          <w:p w:rsidR="0097165E" w:rsidRPr="0097165E" w:rsidRDefault="004A37AC" w:rsidP="00562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Товарный и кассовый чеки, или счёт-фактура, накладная и приходный кассовый ордер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, платежное поручение</w:t>
            </w:r>
            <w:r w:rsidR="00783D78" w:rsidRPr="00783D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4FC3" w:rsidRPr="00783D78">
              <w:rPr>
                <w:rFonts w:ascii="Times New Roman" w:hAnsi="Times New Roman" w:cs="Times New Roman"/>
                <w:sz w:val="28"/>
                <w:szCs w:val="28"/>
              </w:rPr>
              <w:t>Инвентарная карточка</w:t>
            </w:r>
            <w:r w:rsidR="005517A2" w:rsidRPr="00783D78">
              <w:rPr>
                <w:rFonts w:ascii="Times New Roman" w:hAnsi="Times New Roman" w:cs="Times New Roman"/>
                <w:sz w:val="28"/>
                <w:szCs w:val="28"/>
              </w:rPr>
              <w:t xml:space="preserve"> с подписью ответственного за хранение и с записью в инвента</w:t>
            </w:r>
            <w:r w:rsidR="005517A2" w:rsidRPr="00783D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517A2" w:rsidRPr="00783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книге</w:t>
            </w:r>
            <w:r w:rsidR="00783D78" w:rsidRPr="0078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65E" w:rsidRPr="0097165E" w:rsidTr="004A37AC">
        <w:tc>
          <w:tcPr>
            <w:tcW w:w="3794" w:type="dxa"/>
          </w:tcPr>
          <w:p w:rsidR="0097165E" w:rsidRPr="0097165E" w:rsidRDefault="004A37AC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призов</w:t>
            </w:r>
          </w:p>
        </w:tc>
        <w:tc>
          <w:tcPr>
            <w:tcW w:w="5777" w:type="dxa"/>
          </w:tcPr>
          <w:p w:rsidR="0097165E" w:rsidRPr="0097165E" w:rsidRDefault="004A37AC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Товарный и кассовый чеки, или счёт-фактура, накладная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 xml:space="preserve"> и приходный кассовый ордер, платежное поручение. Ведомость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вручение призов. Список участников мероприятия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, плате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жное поруч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ние, акт на списание</w:t>
            </w:r>
          </w:p>
        </w:tc>
      </w:tr>
      <w:tr w:rsidR="0097165E" w:rsidRPr="0097165E" w:rsidTr="004A37AC">
        <w:tc>
          <w:tcPr>
            <w:tcW w:w="3794" w:type="dxa"/>
          </w:tcPr>
          <w:p w:rsidR="0097165E" w:rsidRPr="0097165E" w:rsidRDefault="004A37AC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продуктов для проведения предусмотренных проектом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5777" w:type="dxa"/>
          </w:tcPr>
          <w:p w:rsidR="0097165E" w:rsidRPr="0097165E" w:rsidRDefault="004A37AC" w:rsidP="00562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Товарный и к</w:t>
            </w:r>
            <w:r w:rsidR="005E0441">
              <w:rPr>
                <w:rFonts w:ascii="Times New Roman" w:hAnsi="Times New Roman" w:cs="Times New Roman"/>
                <w:sz w:val="28"/>
                <w:szCs w:val="28"/>
              </w:rPr>
              <w:t>ассовые чеки, или счёт-фактура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накладная и приходный кассовый ордер</w:t>
            </w:r>
            <w:r w:rsidR="00785B5D">
              <w:rPr>
                <w:rFonts w:ascii="Times New Roman" w:hAnsi="Times New Roman" w:cs="Times New Roman"/>
                <w:sz w:val="28"/>
                <w:szCs w:val="28"/>
              </w:rPr>
              <w:t>. Обязательно с указанием н</w:t>
            </w:r>
            <w:r w:rsidR="00785B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5B5D">
              <w:rPr>
                <w:rFonts w:ascii="Times New Roman" w:hAnsi="Times New Roman" w:cs="Times New Roman"/>
                <w:sz w:val="28"/>
                <w:szCs w:val="28"/>
              </w:rPr>
              <w:t xml:space="preserve">звания 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количества и цены продуктов. Платежное поручение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, акт на списание продуктов</w:t>
            </w:r>
          </w:p>
        </w:tc>
      </w:tr>
      <w:tr w:rsidR="005E0441" w:rsidRPr="0097165E" w:rsidTr="004A37AC">
        <w:tc>
          <w:tcPr>
            <w:tcW w:w="3794" w:type="dxa"/>
          </w:tcPr>
          <w:p w:rsidR="005E0441" w:rsidRDefault="00D236BA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785B5D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м</w:t>
            </w:r>
            <w:r w:rsidR="00785B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5B5D">
              <w:rPr>
                <w:rFonts w:ascii="Times New Roman" w:hAnsi="Times New Roman" w:cs="Times New Roman"/>
                <w:sz w:val="28"/>
                <w:szCs w:val="28"/>
              </w:rPr>
              <w:t xml:space="preserve">териалов </w:t>
            </w:r>
          </w:p>
        </w:tc>
        <w:tc>
          <w:tcPr>
            <w:tcW w:w="5777" w:type="dxa"/>
          </w:tcPr>
          <w:p w:rsidR="005E0441" w:rsidRDefault="00785B5D" w:rsidP="00562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Товарный и кассовый чеки, или счёт-фактура, накладная и приходный кассовый ордер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, пл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 xml:space="preserve">тежное поручение, 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акт на списание</w:t>
            </w:r>
          </w:p>
        </w:tc>
      </w:tr>
      <w:tr w:rsidR="005E0441" w:rsidRPr="0097165E" w:rsidTr="004A37AC">
        <w:tc>
          <w:tcPr>
            <w:tcW w:w="3794" w:type="dxa"/>
          </w:tcPr>
          <w:p w:rsidR="005E0441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услуги: </w:t>
            </w:r>
          </w:p>
          <w:p w:rsidR="00785B5D" w:rsidRDefault="00562BD1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5B5D">
              <w:rPr>
                <w:rFonts w:ascii="Times New Roman" w:hAnsi="Times New Roman" w:cs="Times New Roman"/>
                <w:sz w:val="28"/>
                <w:szCs w:val="28"/>
              </w:rPr>
              <w:t>ренда автотранспорта</w:t>
            </w:r>
          </w:p>
          <w:p w:rsidR="00785B5D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5D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5D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D1" w:rsidRDefault="00562BD1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5D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личного транспорта</w:t>
            </w:r>
          </w:p>
          <w:p w:rsidR="00785B5D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5D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69" w:rsidRDefault="00B52469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69" w:rsidRDefault="00B52469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69" w:rsidRDefault="00B52469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469" w:rsidRDefault="00B52469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5D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на транспорте по билетам</w:t>
            </w:r>
          </w:p>
        </w:tc>
        <w:tc>
          <w:tcPr>
            <w:tcW w:w="5777" w:type="dxa"/>
          </w:tcPr>
          <w:p w:rsidR="005E0441" w:rsidRDefault="00785B5D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аренды, оплата услуг по счёту за наличный  или безналичный расчёт, акт</w:t>
            </w:r>
            <w:r w:rsidR="00D236BA">
              <w:rPr>
                <w:rFonts w:ascii="Times New Roman" w:hAnsi="Times New Roman" w:cs="Times New Roman"/>
                <w:sz w:val="28"/>
                <w:szCs w:val="28"/>
              </w:rPr>
              <w:t xml:space="preserve"> приемки оказанных усл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уг, копия технич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ского па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</w:p>
          <w:p w:rsidR="00785B5D" w:rsidRDefault="00785B5D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5D" w:rsidRDefault="00B52469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добровольчества с возмещением расходов добровольца, копия техпаспорта, отчет добровольца о выполненных работах с приложением чеков, акт приемки выполненных работ, акт признания расходов добр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вольца, платежное поручение о перечислении (возмещении)</w:t>
            </w:r>
          </w:p>
          <w:p w:rsidR="00B52469" w:rsidRDefault="00B52469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B5D" w:rsidRDefault="00785B5D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Билет на транспорт. Лица, на которых приобретаются билеты, должны быть участниками </w:t>
            </w:r>
            <w:r w:rsidR="00562BD1">
              <w:rPr>
                <w:rFonts w:ascii="Times New Roman" w:hAnsi="Times New Roman" w:cs="Times New Roman"/>
                <w:sz w:val="28"/>
                <w:szCs w:val="28"/>
              </w:rPr>
              <w:t>проекта или мероприятий проекта</w:t>
            </w:r>
          </w:p>
        </w:tc>
      </w:tr>
      <w:tr w:rsidR="005E0441" w:rsidRPr="0097165E" w:rsidTr="004A37AC">
        <w:tc>
          <w:tcPr>
            <w:tcW w:w="3794" w:type="dxa"/>
          </w:tcPr>
          <w:p w:rsidR="005E0441" w:rsidRDefault="00785B5D" w:rsidP="009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- и видеоуслуги, в том числе фото-видеотовары,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70AC4">
              <w:rPr>
                <w:rFonts w:ascii="Times New Roman" w:hAnsi="Times New Roman" w:cs="Times New Roman"/>
                <w:sz w:val="28"/>
                <w:szCs w:val="28"/>
              </w:rPr>
              <w:t>чать фотографий</w:t>
            </w:r>
          </w:p>
        </w:tc>
        <w:tc>
          <w:tcPr>
            <w:tcW w:w="5777" w:type="dxa"/>
          </w:tcPr>
          <w:p w:rsidR="005E0441" w:rsidRDefault="00785B5D" w:rsidP="00FC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Товарный и </w:t>
            </w:r>
            <w:r w:rsidR="00B52469"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чеки, накладные или договор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оказанных услуг</w:t>
            </w:r>
            <w:r w:rsidR="00B52469">
              <w:rPr>
                <w:rFonts w:ascii="Times New Roman" w:hAnsi="Times New Roman" w:cs="Times New Roman"/>
                <w:sz w:val="28"/>
                <w:szCs w:val="28"/>
              </w:rPr>
              <w:t>, акт прие</w:t>
            </w:r>
            <w:r w:rsidR="00B524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5246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</w:tbl>
    <w:p w:rsidR="00E25537" w:rsidRDefault="00E25537" w:rsidP="00914EFF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993F0C" w:rsidRDefault="00993F0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3F0C" w:rsidRDefault="00993F0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3F0C" w:rsidRDefault="00993F0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3F0C" w:rsidRDefault="00993F0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4EFF" w:rsidRDefault="00FC2264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5537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Примечание:</w:t>
      </w:r>
    </w:p>
    <w:p w:rsidR="00993F0C" w:rsidRPr="00E25537" w:rsidRDefault="00993F0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03212" w:rsidRPr="00E25537" w:rsidRDefault="00914EFF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5537">
        <w:rPr>
          <w:rFonts w:ascii="Times New Roman" w:hAnsi="Times New Roman" w:cs="Times New Roman"/>
          <w:b/>
          <w:i/>
          <w:sz w:val="28"/>
          <w:szCs w:val="28"/>
          <w:u w:val="single"/>
        </w:rPr>
        <w:t>Безналичный расчет:</w:t>
      </w:r>
    </w:p>
    <w:p w:rsidR="007D00BC" w:rsidRPr="00E25537" w:rsidRDefault="007D00B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5537">
        <w:rPr>
          <w:rFonts w:ascii="Times New Roman" w:hAnsi="Times New Roman" w:cs="Times New Roman"/>
          <w:b/>
          <w:i/>
          <w:sz w:val="28"/>
          <w:szCs w:val="28"/>
        </w:rPr>
        <w:t>1. При оплате по безналичному расчету за товары, работы, услуги обязательно нал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чие До</w:t>
      </w:r>
      <w:r w:rsidR="00993F0C">
        <w:rPr>
          <w:rFonts w:ascii="Times New Roman" w:hAnsi="Times New Roman" w:cs="Times New Roman"/>
          <w:b/>
          <w:i/>
          <w:sz w:val="28"/>
          <w:szCs w:val="28"/>
        </w:rPr>
        <w:t>говора;</w:t>
      </w:r>
    </w:p>
    <w:p w:rsidR="00FC2264" w:rsidRPr="00E25537" w:rsidRDefault="007D00B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553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>При заключении договора на приобретение товаров, работ, услуг в договоре должно быть указано из каких средств производится о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>лата (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оплата осуществляется за счет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 xml:space="preserve"> средств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 xml:space="preserve"> субсидии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 xml:space="preserve"> краевого и федераль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ного бюджета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 xml:space="preserve"> на реализацию проектов и мер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>приятий по этнокультурному развитию, межнациональному сотрудничеству и укреплению единства росси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FC2264" w:rsidRPr="00E25537">
        <w:rPr>
          <w:rFonts w:ascii="Times New Roman" w:hAnsi="Times New Roman" w:cs="Times New Roman"/>
          <w:b/>
          <w:i/>
          <w:sz w:val="28"/>
          <w:szCs w:val="28"/>
        </w:rPr>
        <w:t>ской нации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93F0C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D03212" w:rsidRPr="00E25537" w:rsidRDefault="007D00B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553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. В договоре н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а приобретение товаров (оборудования, материалов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) в предметной его части должно быть указано наименование, кол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чество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, сумма и т.д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. Если в предметной части договора это отсу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D03212" w:rsidRPr="00E25537">
        <w:rPr>
          <w:rFonts w:ascii="Times New Roman" w:hAnsi="Times New Roman" w:cs="Times New Roman"/>
          <w:b/>
          <w:i/>
          <w:sz w:val="28"/>
          <w:szCs w:val="28"/>
        </w:rPr>
        <w:t xml:space="preserve">ствует, то 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должно быть Приложение к Договору (Сп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3F0C">
        <w:rPr>
          <w:rFonts w:ascii="Times New Roman" w:hAnsi="Times New Roman" w:cs="Times New Roman"/>
          <w:b/>
          <w:i/>
          <w:sz w:val="28"/>
          <w:szCs w:val="28"/>
        </w:rPr>
        <w:t>цификация);</w:t>
      </w:r>
    </w:p>
    <w:p w:rsidR="007D00BC" w:rsidRPr="00E25537" w:rsidRDefault="007D00BC" w:rsidP="00914E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25537">
        <w:rPr>
          <w:rFonts w:ascii="Times New Roman" w:hAnsi="Times New Roman" w:cs="Times New Roman"/>
          <w:b/>
          <w:i/>
          <w:sz w:val="28"/>
          <w:szCs w:val="28"/>
        </w:rPr>
        <w:t>4. Обязательное соблюдение условий договора с поставщиками: (сроки оплаты, сроки выпо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ненных работ и т.д.)</w:t>
      </w:r>
      <w:r w:rsidR="00993F0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93F0C" w:rsidRDefault="00993F0C" w:rsidP="00FC22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C2264" w:rsidRPr="00E25537" w:rsidRDefault="00914EFF" w:rsidP="00FC22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55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Наличный расчет: 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при расчете наличными средствами составл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ется Авансовый о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чет на члена организации, который производил покупку товаров, работ, услуг с приложением копий кассовых и т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25537">
        <w:rPr>
          <w:rFonts w:ascii="Times New Roman" w:hAnsi="Times New Roman" w:cs="Times New Roman"/>
          <w:b/>
          <w:i/>
          <w:sz w:val="28"/>
          <w:szCs w:val="28"/>
        </w:rPr>
        <w:t>варных чеков.</w:t>
      </w:r>
      <w:bookmarkStart w:id="0" w:name="_GoBack"/>
      <w:bookmarkEnd w:id="0"/>
    </w:p>
    <w:p w:rsidR="00E25537" w:rsidRP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37" w:rsidRDefault="00E25537" w:rsidP="00E25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F0C" w:rsidRDefault="00993F0C" w:rsidP="00E25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4BD" w:rsidRDefault="00CE2B50" w:rsidP="006F37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F3718">
        <w:rPr>
          <w:rFonts w:ascii="Times New Roman" w:hAnsi="Times New Roman" w:cs="Times New Roman"/>
          <w:b/>
          <w:sz w:val="28"/>
          <w:szCs w:val="28"/>
        </w:rPr>
        <w:t>Требования к содержательному отчету</w:t>
      </w:r>
    </w:p>
    <w:p w:rsidR="006F3718" w:rsidRDefault="006F3718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571" w:rsidRDefault="005634DA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должны быть выполнены в полном объеме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со сроками и по тематике, заявленной в календарном плане мероприятий.</w:t>
      </w:r>
      <w:r w:rsidR="00783D78">
        <w:rPr>
          <w:rFonts w:ascii="Times New Roman" w:hAnsi="Times New Roman" w:cs="Times New Roman"/>
          <w:sz w:val="28"/>
          <w:szCs w:val="28"/>
        </w:rPr>
        <w:t xml:space="preserve"> </w:t>
      </w:r>
      <w:r w:rsidR="00E60169" w:rsidRPr="002F0C27">
        <w:rPr>
          <w:rFonts w:ascii="Times New Roman" w:hAnsi="Times New Roman" w:cs="Times New Roman"/>
          <w:i/>
          <w:sz w:val="28"/>
          <w:szCs w:val="28"/>
        </w:rPr>
        <w:t>В случае отклонения фактической даты проведения м</w:t>
      </w:r>
      <w:r w:rsidR="00E60169" w:rsidRPr="002F0C27">
        <w:rPr>
          <w:rFonts w:ascii="Times New Roman" w:hAnsi="Times New Roman" w:cs="Times New Roman"/>
          <w:i/>
          <w:sz w:val="28"/>
          <w:szCs w:val="28"/>
        </w:rPr>
        <w:t>е</w:t>
      </w:r>
      <w:r w:rsidR="00E60169" w:rsidRPr="002F0C27">
        <w:rPr>
          <w:rFonts w:ascii="Times New Roman" w:hAnsi="Times New Roman" w:cs="Times New Roman"/>
          <w:i/>
          <w:sz w:val="28"/>
          <w:szCs w:val="28"/>
        </w:rPr>
        <w:t>роприятий в рамках субсидии от планируемой следует дать письме</w:t>
      </w:r>
      <w:r w:rsidR="00E60169" w:rsidRPr="002F0C27">
        <w:rPr>
          <w:rFonts w:ascii="Times New Roman" w:hAnsi="Times New Roman" w:cs="Times New Roman"/>
          <w:i/>
          <w:sz w:val="28"/>
          <w:szCs w:val="28"/>
        </w:rPr>
        <w:t>н</w:t>
      </w:r>
      <w:r w:rsidR="00E60169" w:rsidRPr="002F0C27">
        <w:rPr>
          <w:rFonts w:ascii="Times New Roman" w:hAnsi="Times New Roman" w:cs="Times New Roman"/>
          <w:i/>
          <w:sz w:val="28"/>
          <w:szCs w:val="28"/>
        </w:rPr>
        <w:t>ные пояснения о пр</w:t>
      </w:r>
      <w:r w:rsidR="00E60169" w:rsidRPr="002F0C27">
        <w:rPr>
          <w:rFonts w:ascii="Times New Roman" w:hAnsi="Times New Roman" w:cs="Times New Roman"/>
          <w:i/>
          <w:sz w:val="28"/>
          <w:szCs w:val="28"/>
        </w:rPr>
        <w:t>и</w:t>
      </w:r>
      <w:r w:rsidR="00E60169" w:rsidRPr="002F0C27">
        <w:rPr>
          <w:rFonts w:ascii="Times New Roman" w:hAnsi="Times New Roman" w:cs="Times New Roman"/>
          <w:i/>
          <w:sz w:val="28"/>
          <w:szCs w:val="28"/>
        </w:rPr>
        <w:t>чинах переноса сроков</w:t>
      </w:r>
      <w:r w:rsidR="00E60169">
        <w:rPr>
          <w:rFonts w:ascii="Times New Roman" w:hAnsi="Times New Roman" w:cs="Times New Roman"/>
          <w:sz w:val="28"/>
          <w:szCs w:val="28"/>
        </w:rPr>
        <w:t>.</w:t>
      </w:r>
    </w:p>
    <w:p w:rsidR="0044774E" w:rsidRDefault="0044774E" w:rsidP="004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E70AC4">
        <w:rPr>
          <w:rFonts w:ascii="Times New Roman" w:hAnsi="Times New Roman" w:cs="Times New Roman"/>
          <w:sz w:val="28"/>
          <w:szCs w:val="28"/>
        </w:rPr>
        <w:t>обеспечено достижение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результати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E70AC4">
        <w:rPr>
          <w:rFonts w:ascii="Times New Roman" w:hAnsi="Times New Roman" w:cs="Times New Roman"/>
          <w:sz w:val="28"/>
          <w:szCs w:val="28"/>
        </w:rPr>
        <w:t>, установленных в соглашении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74E" w:rsidRPr="00E70AC4" w:rsidRDefault="0044774E" w:rsidP="00E7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C4">
        <w:rPr>
          <w:rFonts w:ascii="Times New Roman" w:hAnsi="Times New Roman" w:cs="Times New Roman"/>
          <w:sz w:val="28"/>
          <w:szCs w:val="28"/>
        </w:rPr>
        <w:t>Результатами предоставления субсидии на</w:t>
      </w:r>
      <w:r w:rsidR="002F0C27">
        <w:rPr>
          <w:rFonts w:ascii="Times New Roman" w:hAnsi="Times New Roman" w:cs="Times New Roman"/>
          <w:sz w:val="28"/>
          <w:szCs w:val="28"/>
        </w:rPr>
        <w:t xml:space="preserve"> реализацию  проектов (</w:t>
      </w:r>
      <w:r w:rsidRPr="00E70AC4">
        <w:rPr>
          <w:rFonts w:ascii="Times New Roman" w:hAnsi="Times New Roman" w:cs="Times New Roman"/>
          <w:sz w:val="28"/>
          <w:szCs w:val="28"/>
        </w:rPr>
        <w:t>м</w:t>
      </w:r>
      <w:r w:rsidRPr="00E70AC4">
        <w:rPr>
          <w:rFonts w:ascii="Times New Roman" w:hAnsi="Times New Roman" w:cs="Times New Roman"/>
          <w:sz w:val="28"/>
          <w:szCs w:val="28"/>
        </w:rPr>
        <w:t>е</w:t>
      </w:r>
      <w:r w:rsidRPr="00E70AC4">
        <w:rPr>
          <w:rFonts w:ascii="Times New Roman" w:hAnsi="Times New Roman" w:cs="Times New Roman"/>
          <w:sz w:val="28"/>
          <w:szCs w:val="28"/>
        </w:rPr>
        <w:t>роприя</w:t>
      </w:r>
      <w:r w:rsidR="002F0C27">
        <w:rPr>
          <w:rFonts w:ascii="Times New Roman" w:hAnsi="Times New Roman" w:cs="Times New Roman"/>
          <w:sz w:val="28"/>
          <w:szCs w:val="28"/>
        </w:rPr>
        <w:t>тий)</w:t>
      </w:r>
      <w:r w:rsidRPr="00E70AC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4774E" w:rsidRPr="00E70AC4" w:rsidRDefault="0044774E" w:rsidP="00E7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C4">
        <w:rPr>
          <w:rFonts w:ascii="Times New Roman" w:hAnsi="Times New Roman" w:cs="Times New Roman"/>
          <w:sz w:val="28"/>
          <w:szCs w:val="28"/>
        </w:rPr>
        <w:t>количество проведенных мероприятий;</w:t>
      </w:r>
    </w:p>
    <w:p w:rsidR="0044774E" w:rsidRPr="00E70AC4" w:rsidRDefault="0044774E" w:rsidP="00E7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C4">
        <w:rPr>
          <w:rFonts w:ascii="Times New Roman" w:hAnsi="Times New Roman" w:cs="Times New Roman"/>
          <w:sz w:val="28"/>
          <w:szCs w:val="28"/>
        </w:rPr>
        <w:t>количество участников мероприятий;</w:t>
      </w:r>
    </w:p>
    <w:p w:rsidR="0044774E" w:rsidRPr="00E70AC4" w:rsidRDefault="0044774E" w:rsidP="00E7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C4">
        <w:rPr>
          <w:rFonts w:ascii="Times New Roman" w:hAnsi="Times New Roman" w:cs="Times New Roman"/>
          <w:sz w:val="28"/>
          <w:szCs w:val="28"/>
        </w:rPr>
        <w:t xml:space="preserve">количество публикаций о проведенных </w:t>
      </w:r>
      <w:r w:rsidR="00E70AC4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EC5039" w:rsidRDefault="00EC5039" w:rsidP="00E7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оформляется по форме, установленной в приложении к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глашению о предоставлении субсидии.</w:t>
      </w:r>
    </w:p>
    <w:p w:rsidR="00EC5039" w:rsidRDefault="0073188F" w:rsidP="00E7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сведения, занесенные в отчетную форму, должны быть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тверждены документально. </w:t>
      </w:r>
      <w:r w:rsidR="007A2AF7">
        <w:rPr>
          <w:rFonts w:ascii="Times New Roman" w:hAnsi="Times New Roman" w:cs="Times New Roman"/>
          <w:sz w:val="28"/>
          <w:szCs w:val="28"/>
        </w:rPr>
        <w:t>К отчету должны быть приложены копии</w:t>
      </w:r>
      <w:r w:rsidR="00C70262">
        <w:rPr>
          <w:rFonts w:ascii="Times New Roman" w:hAnsi="Times New Roman" w:cs="Times New Roman"/>
          <w:sz w:val="28"/>
          <w:szCs w:val="28"/>
        </w:rPr>
        <w:t xml:space="preserve"> опубликованных материалов, анонсов мероприятий</w:t>
      </w:r>
      <w:r w:rsidR="007A2AF7">
        <w:rPr>
          <w:rFonts w:ascii="Times New Roman" w:hAnsi="Times New Roman" w:cs="Times New Roman"/>
          <w:sz w:val="28"/>
          <w:szCs w:val="28"/>
        </w:rPr>
        <w:t>, скриншоты, скриншоты программы радио- или телевещания, размещенных мат</w:t>
      </w:r>
      <w:r w:rsidR="007A2AF7">
        <w:rPr>
          <w:rFonts w:ascii="Times New Roman" w:hAnsi="Times New Roman" w:cs="Times New Roman"/>
          <w:sz w:val="28"/>
          <w:szCs w:val="28"/>
        </w:rPr>
        <w:t>е</w:t>
      </w:r>
      <w:r w:rsidR="007A2AF7">
        <w:rPr>
          <w:rFonts w:ascii="Times New Roman" w:hAnsi="Times New Roman" w:cs="Times New Roman"/>
          <w:sz w:val="28"/>
          <w:szCs w:val="28"/>
        </w:rPr>
        <w:t>риалов</w:t>
      </w:r>
      <w:r w:rsidR="00C70262">
        <w:rPr>
          <w:rFonts w:ascii="Times New Roman" w:hAnsi="Times New Roman" w:cs="Times New Roman"/>
          <w:sz w:val="28"/>
          <w:szCs w:val="28"/>
        </w:rPr>
        <w:t xml:space="preserve"> на видео-хостингах и так далее, </w:t>
      </w:r>
      <w:r w:rsidR="00C70262" w:rsidRPr="00755B01">
        <w:rPr>
          <w:rFonts w:ascii="Times New Roman" w:hAnsi="Times New Roman" w:cs="Times New Roman"/>
          <w:i/>
          <w:sz w:val="28"/>
          <w:szCs w:val="28"/>
        </w:rPr>
        <w:t>указанных в отчетных табл</w:t>
      </w:r>
      <w:r w:rsidR="00C70262" w:rsidRPr="00755B01">
        <w:rPr>
          <w:rFonts w:ascii="Times New Roman" w:hAnsi="Times New Roman" w:cs="Times New Roman"/>
          <w:i/>
          <w:sz w:val="28"/>
          <w:szCs w:val="28"/>
        </w:rPr>
        <w:t>и</w:t>
      </w:r>
      <w:r w:rsidR="00C70262" w:rsidRPr="00755B01">
        <w:rPr>
          <w:rFonts w:ascii="Times New Roman" w:hAnsi="Times New Roman" w:cs="Times New Roman"/>
          <w:i/>
          <w:sz w:val="28"/>
          <w:szCs w:val="28"/>
        </w:rPr>
        <w:t>цах</w:t>
      </w:r>
      <w:r w:rsidR="00C70262">
        <w:rPr>
          <w:rFonts w:ascii="Times New Roman" w:hAnsi="Times New Roman" w:cs="Times New Roman"/>
          <w:sz w:val="28"/>
          <w:szCs w:val="28"/>
        </w:rPr>
        <w:t>.</w:t>
      </w:r>
    </w:p>
    <w:p w:rsidR="0017555D" w:rsidRDefault="0017555D" w:rsidP="0017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содержательном отчете н</w:t>
      </w:r>
      <w:r w:rsidRPr="00E70AC4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 xml:space="preserve">корректно </w:t>
      </w:r>
      <w:r w:rsidRPr="00E70AC4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>
        <w:rPr>
          <w:rFonts w:ascii="Times New Roman" w:hAnsi="Times New Roman" w:cs="Times New Roman"/>
          <w:sz w:val="28"/>
          <w:szCs w:val="28"/>
        </w:rPr>
        <w:t>и разделить показатели на качественную и количественную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ляющую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задачам проекта (мероприятия).</w:t>
      </w:r>
    </w:p>
    <w:p w:rsidR="002C1046" w:rsidRDefault="002C1046" w:rsidP="002C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55"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участников мероприятий должно быть подтвержд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 документально с приложением, например, списка участников (</w:t>
      </w:r>
      <w:r w:rsidR="00006CD0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с собственноручными подписями), актов на изготовление и 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сание раздаточной продукции с указанием количества, фото- и виде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EF0377">
        <w:rPr>
          <w:rFonts w:ascii="Times New Roman" w:hAnsi="Times New Roman" w:cs="Times New Roman"/>
          <w:sz w:val="28"/>
          <w:szCs w:val="28"/>
        </w:rPr>
        <w:t>, позв</w:t>
      </w:r>
      <w:r w:rsidR="00EF0377">
        <w:rPr>
          <w:rFonts w:ascii="Times New Roman" w:hAnsi="Times New Roman" w:cs="Times New Roman"/>
          <w:sz w:val="28"/>
          <w:szCs w:val="28"/>
        </w:rPr>
        <w:t>о</w:t>
      </w:r>
      <w:r w:rsidR="00EF0377">
        <w:rPr>
          <w:rFonts w:ascii="Times New Roman" w:hAnsi="Times New Roman" w:cs="Times New Roman"/>
          <w:sz w:val="28"/>
          <w:szCs w:val="28"/>
        </w:rPr>
        <w:t>ляющих оценить количественный охват мероприятия</w:t>
      </w:r>
      <w:r>
        <w:rPr>
          <w:rFonts w:ascii="Times New Roman" w:hAnsi="Times New Roman" w:cs="Times New Roman"/>
          <w:sz w:val="28"/>
          <w:szCs w:val="28"/>
        </w:rPr>
        <w:t>, и так далее.</w:t>
      </w:r>
    </w:p>
    <w:p w:rsidR="00F05E55" w:rsidRDefault="00C70262" w:rsidP="00F05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количество привлеченных в рамках проекта (мероприятия) участников </w:t>
      </w:r>
      <w:r w:rsidR="00150EA6">
        <w:rPr>
          <w:rFonts w:ascii="Times New Roman" w:hAnsi="Times New Roman" w:cs="Times New Roman"/>
          <w:sz w:val="28"/>
          <w:szCs w:val="28"/>
        </w:rPr>
        <w:t xml:space="preserve">в ходе онлайн (дистанционных) мероприятий </w:t>
      </w:r>
      <w:r>
        <w:rPr>
          <w:rFonts w:ascii="Times New Roman" w:hAnsi="Times New Roman" w:cs="Times New Roman"/>
          <w:sz w:val="28"/>
          <w:szCs w:val="28"/>
        </w:rPr>
        <w:t>рассчитыв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 качестве показателя результативности, следует использовать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струменты аналитики сайтов (например, яндекс-метри</w:t>
      </w:r>
      <w:r w:rsidR="00B50A8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а), а к отчету приложить скриншоты с результатами анализа посещаемости,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просмотров, уникальных пользователей</w:t>
      </w:r>
      <w:r w:rsidR="00150EA6">
        <w:rPr>
          <w:rFonts w:ascii="Times New Roman" w:hAnsi="Times New Roman" w:cs="Times New Roman"/>
          <w:sz w:val="28"/>
          <w:szCs w:val="28"/>
        </w:rPr>
        <w:t>, скриншоты со статист</w:t>
      </w:r>
      <w:r w:rsidR="00150EA6">
        <w:rPr>
          <w:rFonts w:ascii="Times New Roman" w:hAnsi="Times New Roman" w:cs="Times New Roman"/>
          <w:sz w:val="28"/>
          <w:szCs w:val="28"/>
        </w:rPr>
        <w:t>и</w:t>
      </w:r>
      <w:r w:rsidR="00150EA6">
        <w:rPr>
          <w:rFonts w:ascii="Times New Roman" w:hAnsi="Times New Roman" w:cs="Times New Roman"/>
          <w:sz w:val="28"/>
          <w:szCs w:val="28"/>
        </w:rPr>
        <w:t xml:space="preserve">кой подключенных к </w:t>
      </w:r>
      <w:r w:rsidR="00150EA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50EA6" w:rsidRPr="00150EA6">
        <w:rPr>
          <w:rFonts w:ascii="Times New Roman" w:hAnsi="Times New Roman" w:cs="Times New Roman"/>
          <w:sz w:val="28"/>
          <w:szCs w:val="28"/>
        </w:rPr>
        <w:t>-</w:t>
      </w:r>
      <w:r w:rsidR="00150EA6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F05E55">
        <w:rPr>
          <w:rFonts w:ascii="Times New Roman" w:hAnsi="Times New Roman" w:cs="Times New Roman"/>
          <w:sz w:val="28"/>
          <w:szCs w:val="28"/>
        </w:rPr>
        <w:t>участников</w:t>
      </w:r>
      <w:r w:rsidR="00150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05E55">
        <w:rPr>
          <w:rFonts w:ascii="Times New Roman" w:hAnsi="Times New Roman" w:cs="Times New Roman"/>
          <w:sz w:val="28"/>
          <w:szCs w:val="28"/>
        </w:rPr>
        <w:t>тому подобное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E55" w:rsidRDefault="00F05E55" w:rsidP="00F05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 количества мероприятий предполагает, во-первых, учет количества заявленных в плане событий, наличие программ</w:t>
      </w:r>
      <w:r w:rsidR="00EA4525">
        <w:rPr>
          <w:rFonts w:ascii="Times New Roman" w:hAnsi="Times New Roman" w:cs="Times New Roman"/>
          <w:sz w:val="28"/>
          <w:szCs w:val="28"/>
        </w:rPr>
        <w:t>, проток</w:t>
      </w:r>
      <w:r w:rsidR="00EA4525">
        <w:rPr>
          <w:rFonts w:ascii="Times New Roman" w:hAnsi="Times New Roman" w:cs="Times New Roman"/>
          <w:sz w:val="28"/>
          <w:szCs w:val="28"/>
        </w:rPr>
        <w:t>о</w:t>
      </w:r>
      <w:r w:rsidR="00EA4525">
        <w:rPr>
          <w:rFonts w:ascii="Times New Roman" w:hAnsi="Times New Roman" w:cs="Times New Roman"/>
          <w:sz w:val="28"/>
          <w:szCs w:val="28"/>
        </w:rPr>
        <w:t>лов о форм</w:t>
      </w:r>
      <w:r w:rsidR="00EA4525">
        <w:rPr>
          <w:rFonts w:ascii="Times New Roman" w:hAnsi="Times New Roman" w:cs="Times New Roman"/>
          <w:sz w:val="28"/>
          <w:szCs w:val="28"/>
        </w:rPr>
        <w:t>и</w:t>
      </w:r>
      <w:r w:rsidR="00EA4525">
        <w:rPr>
          <w:rFonts w:ascii="Times New Roman" w:hAnsi="Times New Roman" w:cs="Times New Roman"/>
          <w:sz w:val="28"/>
          <w:szCs w:val="28"/>
        </w:rPr>
        <w:t>ровании 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списков участников мероприятий,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положений о конкурсах, фестивалях</w:t>
      </w:r>
      <w:r w:rsidR="00EA4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A4525">
        <w:rPr>
          <w:rFonts w:ascii="Times New Roman" w:hAnsi="Times New Roman" w:cs="Times New Roman"/>
          <w:sz w:val="28"/>
          <w:szCs w:val="28"/>
        </w:rPr>
        <w:t>прочих документов организац</w:t>
      </w:r>
      <w:r w:rsidR="00EA4525">
        <w:rPr>
          <w:rFonts w:ascii="Times New Roman" w:hAnsi="Times New Roman" w:cs="Times New Roman"/>
          <w:sz w:val="28"/>
          <w:szCs w:val="28"/>
        </w:rPr>
        <w:t>и</w:t>
      </w:r>
      <w:r w:rsidR="00EA4525">
        <w:rPr>
          <w:rFonts w:ascii="Times New Roman" w:hAnsi="Times New Roman" w:cs="Times New Roman"/>
          <w:sz w:val="28"/>
          <w:szCs w:val="28"/>
        </w:rPr>
        <w:t>онного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4AB" w:rsidRDefault="004221E4" w:rsidP="00E70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55">
        <w:rPr>
          <w:rFonts w:ascii="Times New Roman" w:hAnsi="Times New Roman" w:cs="Times New Roman"/>
          <w:b/>
          <w:sz w:val="28"/>
          <w:szCs w:val="28"/>
        </w:rPr>
        <w:t>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предполагают</w:t>
      </w:r>
      <w:r w:rsidR="0044774E" w:rsidRPr="00E70AC4">
        <w:rPr>
          <w:rFonts w:ascii="Times New Roman" w:hAnsi="Times New Roman" w:cs="Times New Roman"/>
          <w:sz w:val="28"/>
          <w:szCs w:val="28"/>
        </w:rPr>
        <w:t xml:space="preserve"> развернуты</w:t>
      </w:r>
      <w:r w:rsidR="006B396B" w:rsidRPr="00E70AC4">
        <w:rPr>
          <w:rFonts w:ascii="Times New Roman" w:hAnsi="Times New Roman" w:cs="Times New Roman"/>
          <w:sz w:val="28"/>
          <w:szCs w:val="28"/>
        </w:rPr>
        <w:t>й</w:t>
      </w:r>
      <w:r w:rsidR="0044774E" w:rsidRPr="00E70AC4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9314AB">
        <w:rPr>
          <w:rFonts w:ascii="Times New Roman" w:hAnsi="Times New Roman" w:cs="Times New Roman"/>
          <w:sz w:val="28"/>
          <w:szCs w:val="28"/>
        </w:rPr>
        <w:t>реализованного проекта (</w:t>
      </w:r>
      <w:r w:rsidR="0044774E" w:rsidRPr="00E70AC4">
        <w:rPr>
          <w:rFonts w:ascii="Times New Roman" w:hAnsi="Times New Roman" w:cs="Times New Roman"/>
          <w:sz w:val="28"/>
          <w:szCs w:val="28"/>
        </w:rPr>
        <w:t>мероприятия</w:t>
      </w:r>
      <w:r w:rsidR="009314AB">
        <w:rPr>
          <w:rFonts w:ascii="Times New Roman" w:hAnsi="Times New Roman" w:cs="Times New Roman"/>
          <w:sz w:val="28"/>
          <w:szCs w:val="28"/>
        </w:rPr>
        <w:t xml:space="preserve">) с указанием на степень </w:t>
      </w:r>
      <w:r w:rsidR="0051331A">
        <w:rPr>
          <w:rFonts w:ascii="Times New Roman" w:hAnsi="Times New Roman" w:cs="Times New Roman"/>
          <w:sz w:val="28"/>
          <w:szCs w:val="28"/>
        </w:rPr>
        <w:t>решения</w:t>
      </w:r>
      <w:r w:rsidR="009314AB">
        <w:rPr>
          <w:rFonts w:ascii="Times New Roman" w:hAnsi="Times New Roman" w:cs="Times New Roman"/>
          <w:sz w:val="28"/>
          <w:szCs w:val="28"/>
        </w:rPr>
        <w:t xml:space="preserve"> задач, п</w:t>
      </w:r>
      <w:r w:rsidR="009314AB">
        <w:rPr>
          <w:rFonts w:ascii="Times New Roman" w:hAnsi="Times New Roman" w:cs="Times New Roman"/>
          <w:sz w:val="28"/>
          <w:szCs w:val="28"/>
        </w:rPr>
        <w:t>о</w:t>
      </w:r>
      <w:r w:rsidR="009314AB">
        <w:rPr>
          <w:rFonts w:ascii="Times New Roman" w:hAnsi="Times New Roman" w:cs="Times New Roman"/>
          <w:sz w:val="28"/>
          <w:szCs w:val="28"/>
        </w:rPr>
        <w:t>ставленных при его планировании, а та</w:t>
      </w:r>
      <w:r w:rsidR="0051331A">
        <w:rPr>
          <w:rFonts w:ascii="Times New Roman" w:hAnsi="Times New Roman" w:cs="Times New Roman"/>
          <w:sz w:val="28"/>
          <w:szCs w:val="28"/>
        </w:rPr>
        <w:t>кже способов оценки качественных показателей (например, опрос целевых групп, внутре</w:t>
      </w:r>
      <w:r w:rsidR="0051331A">
        <w:rPr>
          <w:rFonts w:ascii="Times New Roman" w:hAnsi="Times New Roman" w:cs="Times New Roman"/>
          <w:sz w:val="28"/>
          <w:szCs w:val="28"/>
        </w:rPr>
        <w:t>н</w:t>
      </w:r>
      <w:r w:rsidR="0051331A">
        <w:rPr>
          <w:rFonts w:ascii="Times New Roman" w:hAnsi="Times New Roman" w:cs="Times New Roman"/>
          <w:sz w:val="28"/>
          <w:szCs w:val="28"/>
        </w:rPr>
        <w:t>ний или внешний м</w:t>
      </w:r>
      <w:r w:rsidR="0051331A">
        <w:rPr>
          <w:rFonts w:ascii="Times New Roman" w:hAnsi="Times New Roman" w:cs="Times New Roman"/>
          <w:sz w:val="28"/>
          <w:szCs w:val="28"/>
        </w:rPr>
        <w:t>о</w:t>
      </w:r>
      <w:r w:rsidR="0051331A">
        <w:rPr>
          <w:rFonts w:ascii="Times New Roman" w:hAnsi="Times New Roman" w:cs="Times New Roman"/>
          <w:sz w:val="28"/>
          <w:szCs w:val="28"/>
        </w:rPr>
        <w:t>ниторинг, экспертные оценки, тестирование и так далее).</w:t>
      </w:r>
    </w:p>
    <w:p w:rsidR="0044774E" w:rsidRPr="003C7D4E" w:rsidRDefault="00C244B2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D4E">
        <w:rPr>
          <w:rFonts w:ascii="Times New Roman" w:hAnsi="Times New Roman" w:cs="Times New Roman"/>
          <w:i/>
          <w:sz w:val="28"/>
          <w:szCs w:val="28"/>
        </w:rPr>
        <w:t>При не достижении показателей, р</w:t>
      </w:r>
      <w:r w:rsidR="0017555D" w:rsidRPr="003C7D4E">
        <w:rPr>
          <w:rFonts w:ascii="Times New Roman" w:hAnsi="Times New Roman" w:cs="Times New Roman"/>
          <w:i/>
          <w:sz w:val="28"/>
          <w:szCs w:val="28"/>
        </w:rPr>
        <w:t>а</w:t>
      </w:r>
      <w:r w:rsidRPr="003C7D4E">
        <w:rPr>
          <w:rFonts w:ascii="Times New Roman" w:hAnsi="Times New Roman" w:cs="Times New Roman"/>
          <w:i/>
          <w:sz w:val="28"/>
          <w:szCs w:val="28"/>
        </w:rPr>
        <w:t xml:space="preserve">вно как и при превышении </w:t>
      </w:r>
      <w:r w:rsidR="0017555D" w:rsidRPr="003C7D4E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3C7D4E">
        <w:rPr>
          <w:rFonts w:ascii="Times New Roman" w:hAnsi="Times New Roman" w:cs="Times New Roman"/>
          <w:i/>
          <w:sz w:val="28"/>
          <w:szCs w:val="28"/>
        </w:rPr>
        <w:t>зн</w:t>
      </w:r>
      <w:r w:rsidRPr="003C7D4E">
        <w:rPr>
          <w:rFonts w:ascii="Times New Roman" w:hAnsi="Times New Roman" w:cs="Times New Roman"/>
          <w:i/>
          <w:sz w:val="28"/>
          <w:szCs w:val="28"/>
        </w:rPr>
        <w:t>а</w:t>
      </w:r>
      <w:r w:rsidRPr="003C7D4E">
        <w:rPr>
          <w:rFonts w:ascii="Times New Roman" w:hAnsi="Times New Roman" w:cs="Times New Roman"/>
          <w:i/>
          <w:sz w:val="28"/>
          <w:szCs w:val="28"/>
        </w:rPr>
        <w:t xml:space="preserve">чений, </w:t>
      </w:r>
      <w:r w:rsidR="0017555D" w:rsidRPr="003C7D4E">
        <w:rPr>
          <w:rFonts w:ascii="Times New Roman" w:hAnsi="Times New Roman" w:cs="Times New Roman"/>
          <w:i/>
          <w:sz w:val="28"/>
          <w:szCs w:val="28"/>
        </w:rPr>
        <w:t>в отчете необходимо дать соответствующие пояснения о причинах</w:t>
      </w:r>
      <w:r w:rsidRPr="003C7D4E">
        <w:rPr>
          <w:rFonts w:ascii="Times New Roman" w:hAnsi="Times New Roman" w:cs="Times New Roman"/>
          <w:i/>
          <w:sz w:val="28"/>
          <w:szCs w:val="28"/>
        </w:rPr>
        <w:t>.</w:t>
      </w:r>
    </w:p>
    <w:p w:rsidR="00C244B2" w:rsidRDefault="00C244B2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содержательному отчету необходимо приложить:</w:t>
      </w:r>
    </w:p>
    <w:p w:rsidR="00C244B2" w:rsidRDefault="00C244B2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образец всех видов печатной продукции, изда</w:t>
      </w:r>
      <w:r w:rsidR="003C7D4E">
        <w:rPr>
          <w:rFonts w:ascii="Times New Roman" w:hAnsi="Times New Roman" w:cs="Times New Roman"/>
          <w:sz w:val="28"/>
          <w:szCs w:val="28"/>
        </w:rPr>
        <w:t>нной в соо</w:t>
      </w:r>
      <w:r w:rsidR="003C7D4E">
        <w:rPr>
          <w:rFonts w:ascii="Times New Roman" w:hAnsi="Times New Roman" w:cs="Times New Roman"/>
          <w:sz w:val="28"/>
          <w:szCs w:val="28"/>
        </w:rPr>
        <w:t>т</w:t>
      </w:r>
      <w:r w:rsidR="003C7D4E">
        <w:rPr>
          <w:rFonts w:ascii="Times New Roman" w:hAnsi="Times New Roman" w:cs="Times New Roman"/>
          <w:sz w:val="28"/>
          <w:szCs w:val="28"/>
        </w:rPr>
        <w:t>ветствии с</w:t>
      </w:r>
      <w:r>
        <w:rPr>
          <w:rFonts w:ascii="Times New Roman" w:hAnsi="Times New Roman" w:cs="Times New Roman"/>
          <w:sz w:val="28"/>
          <w:szCs w:val="28"/>
        </w:rPr>
        <w:t xml:space="preserve"> планом работ и </w:t>
      </w:r>
      <w:r w:rsidR="003C7D4E">
        <w:rPr>
          <w:rFonts w:ascii="Times New Roman" w:hAnsi="Times New Roman" w:cs="Times New Roman"/>
          <w:sz w:val="28"/>
          <w:szCs w:val="28"/>
        </w:rPr>
        <w:t xml:space="preserve">вне </w:t>
      </w:r>
      <w:r>
        <w:rPr>
          <w:rFonts w:ascii="Times New Roman" w:hAnsi="Times New Roman" w:cs="Times New Roman"/>
          <w:sz w:val="28"/>
          <w:szCs w:val="28"/>
        </w:rPr>
        <w:t>плана</w:t>
      </w:r>
      <w:r w:rsidR="003C7D4E">
        <w:rPr>
          <w:rFonts w:ascii="Times New Roman" w:hAnsi="Times New Roman" w:cs="Times New Roman"/>
          <w:sz w:val="28"/>
          <w:szCs w:val="28"/>
        </w:rPr>
        <w:t xml:space="preserve"> (</w:t>
      </w:r>
      <w:r w:rsidR="003C7D4E" w:rsidRPr="003C7D4E">
        <w:rPr>
          <w:rFonts w:ascii="Times New Roman" w:hAnsi="Times New Roman" w:cs="Times New Roman"/>
          <w:b/>
          <w:sz w:val="28"/>
          <w:szCs w:val="28"/>
        </w:rPr>
        <w:t>в печатной продукции должен быть указан источник финансирования</w:t>
      </w:r>
      <w:r w:rsidR="003C7D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4B2" w:rsidRDefault="00C244B2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СМИ (копии) с публикациями о проведенных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приятиях или копии </w:t>
      </w:r>
      <w:r w:rsidR="009500B6">
        <w:rPr>
          <w:rFonts w:ascii="Times New Roman" w:hAnsi="Times New Roman" w:cs="Times New Roman"/>
          <w:sz w:val="28"/>
          <w:szCs w:val="28"/>
        </w:rPr>
        <w:t xml:space="preserve">(скриншоты) </w:t>
      </w:r>
      <w:r>
        <w:rPr>
          <w:rFonts w:ascii="Times New Roman" w:hAnsi="Times New Roman" w:cs="Times New Roman"/>
          <w:sz w:val="28"/>
          <w:szCs w:val="28"/>
        </w:rPr>
        <w:t>публикаций в Интернете</w:t>
      </w:r>
      <w:r w:rsidR="009500B6">
        <w:rPr>
          <w:rFonts w:ascii="Times New Roman" w:hAnsi="Times New Roman" w:cs="Times New Roman"/>
          <w:sz w:val="28"/>
          <w:szCs w:val="28"/>
        </w:rPr>
        <w:t xml:space="preserve"> (</w:t>
      </w:r>
      <w:r w:rsidR="009500B6" w:rsidRPr="001249AF">
        <w:rPr>
          <w:rFonts w:ascii="Times New Roman" w:hAnsi="Times New Roman" w:cs="Times New Roman"/>
          <w:b/>
          <w:sz w:val="28"/>
          <w:szCs w:val="28"/>
        </w:rPr>
        <w:t>в матери</w:t>
      </w:r>
      <w:r w:rsidR="009500B6" w:rsidRPr="001249AF">
        <w:rPr>
          <w:rFonts w:ascii="Times New Roman" w:hAnsi="Times New Roman" w:cs="Times New Roman"/>
          <w:b/>
          <w:sz w:val="28"/>
          <w:szCs w:val="28"/>
        </w:rPr>
        <w:t>а</w:t>
      </w:r>
      <w:r w:rsidR="009500B6" w:rsidRPr="001249AF">
        <w:rPr>
          <w:rFonts w:ascii="Times New Roman" w:hAnsi="Times New Roman" w:cs="Times New Roman"/>
          <w:b/>
          <w:sz w:val="28"/>
          <w:szCs w:val="28"/>
        </w:rPr>
        <w:t>лах должно быть указано, что проект (мероприятие) реализуется при поддержке Правительства Алтайского края в рамках реги</w:t>
      </w:r>
      <w:r w:rsidR="009500B6" w:rsidRPr="001249AF">
        <w:rPr>
          <w:rFonts w:ascii="Times New Roman" w:hAnsi="Times New Roman" w:cs="Times New Roman"/>
          <w:b/>
          <w:sz w:val="28"/>
          <w:szCs w:val="28"/>
        </w:rPr>
        <w:t>о</w:t>
      </w:r>
      <w:r w:rsidR="009500B6" w:rsidRPr="001249AF">
        <w:rPr>
          <w:rFonts w:ascii="Times New Roman" w:hAnsi="Times New Roman" w:cs="Times New Roman"/>
          <w:b/>
          <w:sz w:val="28"/>
          <w:szCs w:val="28"/>
        </w:rPr>
        <w:t>нальной программы «Реализация государственной национальной политики в Алтайском крае»)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4B2" w:rsidRDefault="00C244B2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радио- и телепередачи;</w:t>
      </w:r>
    </w:p>
    <w:p w:rsidR="00C244B2" w:rsidRDefault="00C244B2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(видео) материалы о проведенных мероприятиях; </w:t>
      </w:r>
    </w:p>
    <w:p w:rsidR="00C244B2" w:rsidRDefault="00C244B2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записанные мнения (отзывы) о ходе выполнения проекта его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стников, независимых экспертов, официальных лиц.</w:t>
      </w:r>
    </w:p>
    <w:p w:rsidR="001249AF" w:rsidRDefault="001249AF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9AF" w:rsidRDefault="001249AF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AF">
        <w:rPr>
          <w:rFonts w:ascii="Times New Roman" w:hAnsi="Times New Roman" w:cs="Times New Roman"/>
          <w:b/>
          <w:sz w:val="28"/>
          <w:szCs w:val="28"/>
        </w:rPr>
        <w:t>К отчету в качестве показателей результативности приним</w:t>
      </w:r>
      <w:r w:rsidRPr="001249AF">
        <w:rPr>
          <w:rFonts w:ascii="Times New Roman" w:hAnsi="Times New Roman" w:cs="Times New Roman"/>
          <w:b/>
          <w:sz w:val="28"/>
          <w:szCs w:val="28"/>
        </w:rPr>
        <w:t>а</w:t>
      </w:r>
      <w:r w:rsidRPr="001249AF">
        <w:rPr>
          <w:rFonts w:ascii="Times New Roman" w:hAnsi="Times New Roman" w:cs="Times New Roman"/>
          <w:b/>
          <w:sz w:val="28"/>
          <w:szCs w:val="28"/>
        </w:rPr>
        <w:t>ются только те публикации, материалы СМИ, социальных сетей и т.п., в которых присутствует ссылка на источник финансовой по</w:t>
      </w:r>
      <w:r w:rsidRPr="001249AF">
        <w:rPr>
          <w:rFonts w:ascii="Times New Roman" w:hAnsi="Times New Roman" w:cs="Times New Roman"/>
          <w:b/>
          <w:sz w:val="28"/>
          <w:szCs w:val="28"/>
        </w:rPr>
        <w:t>д</w:t>
      </w:r>
      <w:r w:rsidRPr="001249AF">
        <w:rPr>
          <w:rFonts w:ascii="Times New Roman" w:hAnsi="Times New Roman" w:cs="Times New Roman"/>
          <w:b/>
          <w:sz w:val="28"/>
          <w:szCs w:val="28"/>
        </w:rPr>
        <w:t>держки проекта (мероприятия).</w:t>
      </w:r>
    </w:p>
    <w:p w:rsidR="001E3439" w:rsidRPr="00B53A12" w:rsidRDefault="001E3439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12">
        <w:rPr>
          <w:rFonts w:ascii="Times New Roman" w:hAnsi="Times New Roman" w:cs="Times New Roman"/>
          <w:sz w:val="28"/>
          <w:szCs w:val="28"/>
        </w:rPr>
        <w:t xml:space="preserve">В целях содействия в публикации материалов и анонсирования мероприятий </w:t>
      </w:r>
      <w:r w:rsidR="00320038" w:rsidRPr="00B53A12">
        <w:rPr>
          <w:rFonts w:ascii="Times New Roman" w:hAnsi="Times New Roman" w:cs="Times New Roman"/>
          <w:sz w:val="28"/>
          <w:szCs w:val="28"/>
        </w:rPr>
        <w:t xml:space="preserve">негосударственных некоммерческих организации </w:t>
      </w:r>
      <w:r w:rsidRPr="00B53A12">
        <w:rPr>
          <w:rFonts w:ascii="Times New Roman" w:hAnsi="Times New Roman" w:cs="Times New Roman"/>
          <w:sz w:val="28"/>
          <w:szCs w:val="28"/>
        </w:rPr>
        <w:t>при поддержке средств краевого бюджета</w:t>
      </w:r>
      <w:r w:rsidR="00D8299C" w:rsidRPr="00B53A12">
        <w:rPr>
          <w:rFonts w:ascii="Times New Roman" w:hAnsi="Times New Roman" w:cs="Times New Roman"/>
          <w:sz w:val="28"/>
          <w:szCs w:val="28"/>
        </w:rPr>
        <w:t xml:space="preserve">, а также при организационном участии </w:t>
      </w:r>
      <w:r w:rsidR="00320038" w:rsidRPr="00B53A12">
        <w:rPr>
          <w:rFonts w:ascii="Times New Roman" w:hAnsi="Times New Roman" w:cs="Times New Roman"/>
          <w:sz w:val="28"/>
          <w:szCs w:val="28"/>
        </w:rPr>
        <w:t>П</w:t>
      </w:r>
      <w:r w:rsidR="00D8299C" w:rsidRPr="00B53A12">
        <w:rPr>
          <w:rFonts w:ascii="Times New Roman" w:hAnsi="Times New Roman" w:cs="Times New Roman"/>
          <w:sz w:val="28"/>
          <w:szCs w:val="28"/>
        </w:rPr>
        <w:t>рав</w:t>
      </w:r>
      <w:r w:rsidR="00D8299C" w:rsidRPr="00B53A12">
        <w:rPr>
          <w:rFonts w:ascii="Times New Roman" w:hAnsi="Times New Roman" w:cs="Times New Roman"/>
          <w:sz w:val="28"/>
          <w:szCs w:val="28"/>
        </w:rPr>
        <w:t>и</w:t>
      </w:r>
      <w:r w:rsidR="00D8299C" w:rsidRPr="00B53A12">
        <w:rPr>
          <w:rFonts w:ascii="Times New Roman" w:hAnsi="Times New Roman" w:cs="Times New Roman"/>
          <w:sz w:val="28"/>
          <w:szCs w:val="28"/>
        </w:rPr>
        <w:t>тельства Алтайского края</w:t>
      </w:r>
      <w:r w:rsidRPr="00B53A12">
        <w:rPr>
          <w:rFonts w:ascii="Times New Roman" w:hAnsi="Times New Roman" w:cs="Times New Roman"/>
          <w:sz w:val="28"/>
          <w:szCs w:val="28"/>
        </w:rPr>
        <w:t xml:space="preserve"> функционируют порталы:</w:t>
      </w:r>
    </w:p>
    <w:p w:rsidR="001E3439" w:rsidRPr="00B53A12" w:rsidRDefault="0081496F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E3439" w:rsidRPr="00B53A1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E3439" w:rsidRPr="00B53A1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1E3439" w:rsidRPr="00B53A1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nko</w:t>
        </w:r>
        <w:r w:rsidR="001E3439" w:rsidRPr="00B53A12">
          <w:rPr>
            <w:rStyle w:val="ac"/>
            <w:rFonts w:ascii="Times New Roman" w:hAnsi="Times New Roman" w:cs="Times New Roman"/>
            <w:sz w:val="28"/>
            <w:szCs w:val="28"/>
          </w:rPr>
          <w:t>22.</w:t>
        </w:r>
        <w:r w:rsidR="001E3439" w:rsidRPr="00B53A1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B00E4" w:rsidRPr="00B53A12">
        <w:rPr>
          <w:rFonts w:ascii="Times New Roman" w:hAnsi="Times New Roman" w:cs="Times New Roman"/>
          <w:sz w:val="28"/>
          <w:szCs w:val="28"/>
        </w:rPr>
        <w:t xml:space="preserve"> (nko@altairegion22.ru)</w:t>
      </w:r>
      <w:r w:rsidR="00993F0C">
        <w:rPr>
          <w:rFonts w:ascii="Times New Roman" w:hAnsi="Times New Roman" w:cs="Times New Roman"/>
          <w:sz w:val="28"/>
          <w:szCs w:val="28"/>
        </w:rPr>
        <w:t>;</w:t>
      </w:r>
    </w:p>
    <w:p w:rsidR="00320038" w:rsidRPr="00B53A12" w:rsidRDefault="0081496F" w:rsidP="00320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20038" w:rsidRPr="00B53A12">
          <w:rPr>
            <w:rStyle w:val="ac"/>
            <w:rFonts w:ascii="Times New Roman" w:hAnsi="Times New Roman" w:cs="Times New Roman"/>
            <w:sz w:val="28"/>
            <w:szCs w:val="28"/>
          </w:rPr>
          <w:t>http://altaymn.ak-rnd.org/</w:t>
        </w:r>
      </w:hyperlink>
      <w:r w:rsidR="00320038" w:rsidRPr="00B53A12">
        <w:rPr>
          <w:rFonts w:ascii="Times New Roman" w:hAnsi="Times New Roman" w:cs="Times New Roman"/>
          <w:sz w:val="28"/>
          <w:szCs w:val="28"/>
        </w:rPr>
        <w:t xml:space="preserve"> (dom@ak-rnd.org)</w:t>
      </w:r>
      <w:r w:rsidR="00993F0C">
        <w:rPr>
          <w:rFonts w:ascii="Times New Roman" w:hAnsi="Times New Roman" w:cs="Times New Roman"/>
          <w:sz w:val="28"/>
          <w:szCs w:val="28"/>
        </w:rPr>
        <w:t>;</w:t>
      </w:r>
    </w:p>
    <w:p w:rsidR="00D8299C" w:rsidRPr="00B53A12" w:rsidRDefault="0081496F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8299C" w:rsidRPr="00B53A12">
          <w:rPr>
            <w:rStyle w:val="ac"/>
            <w:rFonts w:ascii="Times New Roman" w:hAnsi="Times New Roman" w:cs="Times New Roman"/>
            <w:sz w:val="28"/>
            <w:szCs w:val="28"/>
          </w:rPr>
          <w:t>http://наш-алтай.рф/</w:t>
        </w:r>
      </w:hyperlink>
      <w:r w:rsidR="008B00E4" w:rsidRPr="00B53A12">
        <w:rPr>
          <w:rFonts w:ascii="Times New Roman" w:hAnsi="Times New Roman" w:cs="Times New Roman"/>
          <w:sz w:val="28"/>
          <w:szCs w:val="28"/>
        </w:rPr>
        <w:t xml:space="preserve"> (</w:t>
      </w:r>
      <w:r w:rsidR="00320038" w:rsidRPr="00B53A12">
        <w:rPr>
          <w:rFonts w:ascii="Times New Roman" w:hAnsi="Times New Roman" w:cs="Times New Roman"/>
          <w:sz w:val="28"/>
          <w:szCs w:val="28"/>
        </w:rPr>
        <w:t>alena-eva1998@yandex.ru</w:t>
      </w:r>
      <w:r w:rsidR="008B00E4" w:rsidRPr="00B53A12">
        <w:rPr>
          <w:rFonts w:ascii="Times New Roman" w:hAnsi="Times New Roman" w:cs="Times New Roman"/>
          <w:sz w:val="28"/>
          <w:szCs w:val="28"/>
        </w:rPr>
        <w:t>)</w:t>
      </w:r>
      <w:r w:rsidR="00993F0C">
        <w:rPr>
          <w:rFonts w:ascii="Times New Roman" w:hAnsi="Times New Roman" w:cs="Times New Roman"/>
          <w:sz w:val="28"/>
          <w:szCs w:val="28"/>
        </w:rPr>
        <w:t>;</w:t>
      </w:r>
    </w:p>
    <w:p w:rsidR="00D8299C" w:rsidRPr="00B53A12" w:rsidRDefault="0081496F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8299C" w:rsidRPr="00B53A12">
          <w:rPr>
            <w:rStyle w:val="ac"/>
            <w:rFonts w:ascii="Times New Roman" w:hAnsi="Times New Roman" w:cs="Times New Roman"/>
            <w:sz w:val="28"/>
            <w:szCs w:val="28"/>
          </w:rPr>
          <w:t>http://www.rescenter22.ru/</w:t>
        </w:r>
      </w:hyperlink>
      <w:r w:rsidR="00D8299C" w:rsidRPr="00B53A12">
        <w:rPr>
          <w:rFonts w:ascii="Times New Roman" w:hAnsi="Times New Roman" w:cs="Times New Roman"/>
          <w:sz w:val="28"/>
          <w:szCs w:val="28"/>
        </w:rPr>
        <w:t xml:space="preserve"> (info@rescenter22.ru)</w:t>
      </w:r>
      <w:r w:rsidR="00993F0C">
        <w:rPr>
          <w:rFonts w:ascii="Times New Roman" w:hAnsi="Times New Roman" w:cs="Times New Roman"/>
          <w:sz w:val="28"/>
          <w:szCs w:val="28"/>
        </w:rPr>
        <w:t>.</w:t>
      </w:r>
    </w:p>
    <w:p w:rsidR="00320038" w:rsidRDefault="00320038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12">
        <w:rPr>
          <w:rFonts w:ascii="Times New Roman" w:hAnsi="Times New Roman" w:cs="Times New Roman"/>
          <w:sz w:val="28"/>
          <w:szCs w:val="28"/>
        </w:rPr>
        <w:t xml:space="preserve">Рекомендовано направлять </w:t>
      </w:r>
      <w:r w:rsidR="00B53A12" w:rsidRPr="00B53A12">
        <w:rPr>
          <w:rFonts w:ascii="Times New Roman" w:hAnsi="Times New Roman" w:cs="Times New Roman"/>
          <w:sz w:val="28"/>
          <w:szCs w:val="28"/>
        </w:rPr>
        <w:t>а</w:t>
      </w:r>
      <w:r w:rsidR="009D1314">
        <w:rPr>
          <w:rFonts w:ascii="Times New Roman" w:hAnsi="Times New Roman" w:cs="Times New Roman"/>
          <w:sz w:val="28"/>
          <w:szCs w:val="28"/>
        </w:rPr>
        <w:t>нонсы,</w:t>
      </w:r>
      <w:r w:rsidRPr="00B53A12">
        <w:rPr>
          <w:rFonts w:ascii="Times New Roman" w:hAnsi="Times New Roman" w:cs="Times New Roman"/>
          <w:sz w:val="28"/>
          <w:szCs w:val="28"/>
        </w:rPr>
        <w:t xml:space="preserve"> пресс</w:t>
      </w:r>
      <w:r w:rsidR="00B53A12" w:rsidRPr="00B53A12">
        <w:rPr>
          <w:rFonts w:ascii="Times New Roman" w:hAnsi="Times New Roman" w:cs="Times New Roman"/>
          <w:sz w:val="28"/>
          <w:szCs w:val="28"/>
        </w:rPr>
        <w:t xml:space="preserve"> и пост релизы мер</w:t>
      </w:r>
      <w:r w:rsidR="00B53A12" w:rsidRPr="00B53A12">
        <w:rPr>
          <w:rFonts w:ascii="Times New Roman" w:hAnsi="Times New Roman" w:cs="Times New Roman"/>
          <w:sz w:val="28"/>
          <w:szCs w:val="28"/>
        </w:rPr>
        <w:t>о</w:t>
      </w:r>
      <w:r w:rsidR="00B53A12" w:rsidRPr="00B53A12">
        <w:rPr>
          <w:rFonts w:ascii="Times New Roman" w:hAnsi="Times New Roman" w:cs="Times New Roman"/>
          <w:sz w:val="28"/>
          <w:szCs w:val="28"/>
        </w:rPr>
        <w:t>приятий на указанные адреса электронной почты, а для размещения на портале «Алтай многонациональный» (</w:t>
      </w:r>
      <w:hyperlink r:id="rId14" w:history="1">
        <w:r w:rsidR="00B53A12" w:rsidRPr="00B53A12">
          <w:rPr>
            <w:rStyle w:val="ac"/>
            <w:rFonts w:ascii="Times New Roman" w:hAnsi="Times New Roman" w:cs="Times New Roman"/>
            <w:sz w:val="28"/>
            <w:szCs w:val="28"/>
          </w:rPr>
          <w:t>http://altaymn.ak-rnd.org</w:t>
        </w:r>
      </w:hyperlink>
      <w:r w:rsidR="00B53A12" w:rsidRPr="00B53A12">
        <w:rPr>
          <w:rFonts w:ascii="Times New Roman" w:hAnsi="Times New Roman" w:cs="Times New Roman"/>
          <w:sz w:val="28"/>
          <w:szCs w:val="28"/>
        </w:rPr>
        <w:t xml:space="preserve">) – </w:t>
      </w:r>
      <w:r w:rsidR="00B53A12" w:rsidRPr="009D1314">
        <w:rPr>
          <w:rFonts w:ascii="Times New Roman" w:hAnsi="Times New Roman" w:cs="Times New Roman"/>
          <w:i/>
          <w:sz w:val="28"/>
          <w:szCs w:val="28"/>
        </w:rPr>
        <w:t>в об</w:t>
      </w:r>
      <w:r w:rsidR="00B53A12" w:rsidRPr="009D1314">
        <w:rPr>
          <w:rFonts w:ascii="Times New Roman" w:hAnsi="Times New Roman" w:cs="Times New Roman"/>
          <w:i/>
          <w:sz w:val="28"/>
          <w:szCs w:val="28"/>
        </w:rPr>
        <w:t>я</w:t>
      </w:r>
      <w:r w:rsidR="00B53A12" w:rsidRPr="009D1314">
        <w:rPr>
          <w:rFonts w:ascii="Times New Roman" w:hAnsi="Times New Roman" w:cs="Times New Roman"/>
          <w:i/>
          <w:sz w:val="28"/>
          <w:szCs w:val="28"/>
        </w:rPr>
        <w:t>зательном поря</w:t>
      </w:r>
      <w:r w:rsidR="00B53A12" w:rsidRPr="009D1314">
        <w:rPr>
          <w:rFonts w:ascii="Times New Roman" w:hAnsi="Times New Roman" w:cs="Times New Roman"/>
          <w:i/>
          <w:sz w:val="28"/>
          <w:szCs w:val="28"/>
        </w:rPr>
        <w:t>д</w:t>
      </w:r>
      <w:r w:rsidR="00B53A12" w:rsidRPr="009D1314">
        <w:rPr>
          <w:rFonts w:ascii="Times New Roman" w:hAnsi="Times New Roman" w:cs="Times New Roman"/>
          <w:i/>
          <w:sz w:val="28"/>
          <w:szCs w:val="28"/>
        </w:rPr>
        <w:t>ке</w:t>
      </w:r>
      <w:r w:rsidR="00B53A12" w:rsidRPr="00B53A12">
        <w:rPr>
          <w:rFonts w:ascii="Times New Roman" w:hAnsi="Times New Roman" w:cs="Times New Roman"/>
          <w:sz w:val="28"/>
          <w:szCs w:val="28"/>
        </w:rPr>
        <w:t>.</w:t>
      </w: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537" w:rsidRDefault="00E25537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537" w:rsidRDefault="00E25537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537" w:rsidRDefault="00E25537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537" w:rsidRDefault="00E25537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CBC" w:rsidRDefault="00D07CB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CBC" w:rsidRDefault="00D07CB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F0C" w:rsidRDefault="00D07CBC" w:rsidP="00746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9C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проведени</w:t>
      </w:r>
      <w:r w:rsidR="007469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межнационального характера</w:t>
      </w:r>
      <w:r w:rsidR="007469CA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="007469CA">
        <w:rPr>
          <w:rFonts w:ascii="Times New Roman" w:hAnsi="Times New Roman" w:cs="Times New Roman"/>
          <w:sz w:val="28"/>
          <w:szCs w:val="28"/>
        </w:rPr>
        <w:t>у</w:t>
      </w:r>
      <w:r w:rsidR="007469CA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 приглашать </w:t>
      </w:r>
      <w:r w:rsidR="007469CA">
        <w:rPr>
          <w:rFonts w:ascii="Times New Roman" w:hAnsi="Times New Roman" w:cs="Times New Roman"/>
          <w:sz w:val="28"/>
          <w:szCs w:val="28"/>
        </w:rPr>
        <w:t>руководителей, членов, участников национально-культурных объединений.</w:t>
      </w:r>
      <w:r w:rsidR="00993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F0C" w:rsidRDefault="00993F0C" w:rsidP="0099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B0C" w:rsidRDefault="00993F0C" w:rsidP="00993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реализации субсидии</w:t>
      </w:r>
      <w:r w:rsidR="007469CA">
        <w:rPr>
          <w:rFonts w:ascii="Times New Roman" w:hAnsi="Times New Roman" w:cs="Times New Roman"/>
          <w:sz w:val="28"/>
          <w:szCs w:val="28"/>
        </w:rPr>
        <w:t xml:space="preserve"> следует обращаться:</w:t>
      </w:r>
    </w:p>
    <w:p w:rsidR="00993F0C" w:rsidRDefault="00993F0C" w:rsidP="00D07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CBC" w:rsidRDefault="00D07CBC" w:rsidP="00D07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5114">
        <w:rPr>
          <w:rFonts w:ascii="Times New Roman" w:hAnsi="Times New Roman" w:cs="Times New Roman"/>
          <w:b/>
          <w:sz w:val="24"/>
          <w:szCs w:val="24"/>
        </w:rPr>
        <w:t xml:space="preserve">Бухгалтер </w:t>
      </w: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делами Губернатора и</w:t>
      </w:r>
    </w:p>
    <w:p w:rsidR="00D07CBC" w:rsidRDefault="00D07CBC" w:rsidP="00D07C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Правительства Алтайского края</w:t>
      </w:r>
    </w:p>
    <w:p w:rsidR="00D07CBC" w:rsidRPr="00AD5114" w:rsidRDefault="00D07CBC" w:rsidP="00993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Сильнягина Екатерина Александровна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(3852) </w:t>
      </w: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66-51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56</w:t>
      </w:r>
    </w:p>
    <w:p w:rsidR="00993F0C" w:rsidRDefault="00993F0C" w:rsidP="00D07C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7CBC" w:rsidRDefault="00D07CBC" w:rsidP="00D07C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методист КАУ АК РНД</w:t>
      </w:r>
    </w:p>
    <w:p w:rsidR="00D07CBC" w:rsidRPr="00AD5114" w:rsidRDefault="00D07CBC" w:rsidP="00D07C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Наумова Евгения Сергеевна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(3852) </w:t>
      </w: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AD5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B0C" w:rsidRPr="00B53A12" w:rsidRDefault="003E4B0C" w:rsidP="00563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4B0C" w:rsidRPr="00B53A12" w:rsidSect="00D760F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87" w:rsidRDefault="00706087" w:rsidP="00150EA6">
      <w:pPr>
        <w:spacing w:after="0" w:line="240" w:lineRule="auto"/>
      </w:pPr>
      <w:r>
        <w:separator/>
      </w:r>
    </w:p>
  </w:endnote>
  <w:endnote w:type="continuationSeparator" w:id="1">
    <w:p w:rsidR="00706087" w:rsidRDefault="00706087" w:rsidP="0015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87" w:rsidRDefault="00706087" w:rsidP="00150EA6">
      <w:pPr>
        <w:spacing w:after="0" w:line="240" w:lineRule="auto"/>
      </w:pPr>
      <w:r>
        <w:separator/>
      </w:r>
    </w:p>
  </w:footnote>
  <w:footnote w:type="continuationSeparator" w:id="1">
    <w:p w:rsidR="00706087" w:rsidRDefault="00706087" w:rsidP="00150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322E"/>
    <w:multiLevelType w:val="hybridMultilevel"/>
    <w:tmpl w:val="2A62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F258D"/>
    <w:multiLevelType w:val="hybridMultilevel"/>
    <w:tmpl w:val="74FEA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F0CDF"/>
    <w:multiLevelType w:val="hybridMultilevel"/>
    <w:tmpl w:val="F9A6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85C"/>
    <w:rsid w:val="00006CD0"/>
    <w:rsid w:val="000123B0"/>
    <w:rsid w:val="0003774C"/>
    <w:rsid w:val="00080999"/>
    <w:rsid w:val="000912D4"/>
    <w:rsid w:val="000E25D3"/>
    <w:rsid w:val="000E5DF5"/>
    <w:rsid w:val="000E62F7"/>
    <w:rsid w:val="00123037"/>
    <w:rsid w:val="001249AF"/>
    <w:rsid w:val="00146A38"/>
    <w:rsid w:val="00150EA6"/>
    <w:rsid w:val="001734BB"/>
    <w:rsid w:val="0017555D"/>
    <w:rsid w:val="00182D95"/>
    <w:rsid w:val="001A3DC9"/>
    <w:rsid w:val="001D58FD"/>
    <w:rsid w:val="001E3439"/>
    <w:rsid w:val="001F2469"/>
    <w:rsid w:val="00204FC3"/>
    <w:rsid w:val="002174A5"/>
    <w:rsid w:val="00225A7A"/>
    <w:rsid w:val="002311E3"/>
    <w:rsid w:val="00242407"/>
    <w:rsid w:val="00292491"/>
    <w:rsid w:val="002A265D"/>
    <w:rsid w:val="002A27EC"/>
    <w:rsid w:val="002C1046"/>
    <w:rsid w:val="002F0C27"/>
    <w:rsid w:val="002F4974"/>
    <w:rsid w:val="00320038"/>
    <w:rsid w:val="00332BD5"/>
    <w:rsid w:val="00352D2A"/>
    <w:rsid w:val="00361E7B"/>
    <w:rsid w:val="003620F9"/>
    <w:rsid w:val="003A2DE5"/>
    <w:rsid w:val="003B2781"/>
    <w:rsid w:val="003B7017"/>
    <w:rsid w:val="003C7D4E"/>
    <w:rsid w:val="003D185C"/>
    <w:rsid w:val="003D7E57"/>
    <w:rsid w:val="003E4B0C"/>
    <w:rsid w:val="003F11EF"/>
    <w:rsid w:val="0041035B"/>
    <w:rsid w:val="0041518E"/>
    <w:rsid w:val="004221E4"/>
    <w:rsid w:val="0042395A"/>
    <w:rsid w:val="00437EC5"/>
    <w:rsid w:val="00441BE5"/>
    <w:rsid w:val="00444F9D"/>
    <w:rsid w:val="0044774E"/>
    <w:rsid w:val="00491287"/>
    <w:rsid w:val="004A37AC"/>
    <w:rsid w:val="004A5940"/>
    <w:rsid w:val="004D2D0A"/>
    <w:rsid w:val="004D3834"/>
    <w:rsid w:val="004D7224"/>
    <w:rsid w:val="00507955"/>
    <w:rsid w:val="0051331A"/>
    <w:rsid w:val="005217F3"/>
    <w:rsid w:val="00522FF7"/>
    <w:rsid w:val="005517A2"/>
    <w:rsid w:val="00554618"/>
    <w:rsid w:val="0056283E"/>
    <w:rsid w:val="00562BD1"/>
    <w:rsid w:val="005634DA"/>
    <w:rsid w:val="00563BC0"/>
    <w:rsid w:val="00573048"/>
    <w:rsid w:val="005842B4"/>
    <w:rsid w:val="0058651C"/>
    <w:rsid w:val="005922BA"/>
    <w:rsid w:val="005974C0"/>
    <w:rsid w:val="005A4C55"/>
    <w:rsid w:val="005E0441"/>
    <w:rsid w:val="005E31AF"/>
    <w:rsid w:val="005F6A97"/>
    <w:rsid w:val="006537E4"/>
    <w:rsid w:val="00671B24"/>
    <w:rsid w:val="00690FF2"/>
    <w:rsid w:val="006B396B"/>
    <w:rsid w:val="006B793C"/>
    <w:rsid w:val="006F3718"/>
    <w:rsid w:val="00705905"/>
    <w:rsid w:val="00706087"/>
    <w:rsid w:val="0073188F"/>
    <w:rsid w:val="007436F7"/>
    <w:rsid w:val="007444BD"/>
    <w:rsid w:val="007469CA"/>
    <w:rsid w:val="007525ED"/>
    <w:rsid w:val="00755B01"/>
    <w:rsid w:val="0075630F"/>
    <w:rsid w:val="00757C6B"/>
    <w:rsid w:val="00763B3F"/>
    <w:rsid w:val="00783D78"/>
    <w:rsid w:val="00785B5D"/>
    <w:rsid w:val="007903A5"/>
    <w:rsid w:val="007A2AF7"/>
    <w:rsid w:val="007B5FAA"/>
    <w:rsid w:val="007D00BC"/>
    <w:rsid w:val="007D7BE4"/>
    <w:rsid w:val="007E286E"/>
    <w:rsid w:val="007E6AF8"/>
    <w:rsid w:val="007F3B42"/>
    <w:rsid w:val="007F7BCF"/>
    <w:rsid w:val="0081496F"/>
    <w:rsid w:val="008528F4"/>
    <w:rsid w:val="008B00E4"/>
    <w:rsid w:val="008D7263"/>
    <w:rsid w:val="008E16DF"/>
    <w:rsid w:val="008F5455"/>
    <w:rsid w:val="00914EFF"/>
    <w:rsid w:val="009314AB"/>
    <w:rsid w:val="009500B6"/>
    <w:rsid w:val="0097165E"/>
    <w:rsid w:val="00993859"/>
    <w:rsid w:val="00993F0C"/>
    <w:rsid w:val="009A5BB1"/>
    <w:rsid w:val="009D0450"/>
    <w:rsid w:val="009D1314"/>
    <w:rsid w:val="009F55BA"/>
    <w:rsid w:val="00A05A74"/>
    <w:rsid w:val="00A0649F"/>
    <w:rsid w:val="00A168C8"/>
    <w:rsid w:val="00A60F1B"/>
    <w:rsid w:val="00A76544"/>
    <w:rsid w:val="00A800AE"/>
    <w:rsid w:val="00A97FB1"/>
    <w:rsid w:val="00AC4AFA"/>
    <w:rsid w:val="00AE0BE9"/>
    <w:rsid w:val="00AF6911"/>
    <w:rsid w:val="00B31DCC"/>
    <w:rsid w:val="00B32E91"/>
    <w:rsid w:val="00B50A89"/>
    <w:rsid w:val="00B52469"/>
    <w:rsid w:val="00B53A12"/>
    <w:rsid w:val="00B65F54"/>
    <w:rsid w:val="00BB3292"/>
    <w:rsid w:val="00BB5D8C"/>
    <w:rsid w:val="00BB67C8"/>
    <w:rsid w:val="00BC5FDD"/>
    <w:rsid w:val="00BD1F31"/>
    <w:rsid w:val="00C244B2"/>
    <w:rsid w:val="00C61978"/>
    <w:rsid w:val="00C64463"/>
    <w:rsid w:val="00C70262"/>
    <w:rsid w:val="00C86C62"/>
    <w:rsid w:val="00CB615F"/>
    <w:rsid w:val="00CC76F0"/>
    <w:rsid w:val="00CD0200"/>
    <w:rsid w:val="00CD369A"/>
    <w:rsid w:val="00CE2B50"/>
    <w:rsid w:val="00D010BE"/>
    <w:rsid w:val="00D03212"/>
    <w:rsid w:val="00D054DF"/>
    <w:rsid w:val="00D07CBC"/>
    <w:rsid w:val="00D236BA"/>
    <w:rsid w:val="00D323C4"/>
    <w:rsid w:val="00D42700"/>
    <w:rsid w:val="00D4686F"/>
    <w:rsid w:val="00D71E8E"/>
    <w:rsid w:val="00D760F9"/>
    <w:rsid w:val="00D7753A"/>
    <w:rsid w:val="00D8299C"/>
    <w:rsid w:val="00DB3D53"/>
    <w:rsid w:val="00DD1ACC"/>
    <w:rsid w:val="00E05C0D"/>
    <w:rsid w:val="00E12162"/>
    <w:rsid w:val="00E25537"/>
    <w:rsid w:val="00E47902"/>
    <w:rsid w:val="00E60169"/>
    <w:rsid w:val="00E70AC4"/>
    <w:rsid w:val="00E71338"/>
    <w:rsid w:val="00E961CD"/>
    <w:rsid w:val="00EA4525"/>
    <w:rsid w:val="00EA4934"/>
    <w:rsid w:val="00EC5039"/>
    <w:rsid w:val="00ED1C9F"/>
    <w:rsid w:val="00ED5FAD"/>
    <w:rsid w:val="00EF0377"/>
    <w:rsid w:val="00F05E55"/>
    <w:rsid w:val="00F21761"/>
    <w:rsid w:val="00F240E4"/>
    <w:rsid w:val="00F73DC5"/>
    <w:rsid w:val="00F76571"/>
    <w:rsid w:val="00FB563A"/>
    <w:rsid w:val="00FC2264"/>
    <w:rsid w:val="00FC4F05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C0"/>
  </w:style>
  <w:style w:type="paragraph" w:styleId="1">
    <w:name w:val="heading 1"/>
    <w:basedOn w:val="a"/>
    <w:link w:val="10"/>
    <w:qFormat/>
    <w:rsid w:val="003D1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7E6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7E6A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E6AF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A2D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3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80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F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150E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50E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50EA6"/>
    <w:rPr>
      <w:vertAlign w:val="superscript"/>
    </w:rPr>
  </w:style>
  <w:style w:type="character" w:styleId="ac">
    <w:name w:val="Hyperlink"/>
    <w:basedOn w:val="a0"/>
    <w:uiPriority w:val="99"/>
    <w:unhideWhenUsed/>
    <w:rsid w:val="001E343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03212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0E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25D3"/>
  </w:style>
  <w:style w:type="paragraph" w:styleId="af0">
    <w:name w:val="footer"/>
    <w:basedOn w:val="a"/>
    <w:link w:val="af1"/>
    <w:uiPriority w:val="99"/>
    <w:unhideWhenUsed/>
    <w:rsid w:val="000E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2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rescenter2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5;&#1072;&#1096;-&#1072;&#1083;&#1090;&#1072;&#1081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taymn.ak-rnd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ko22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altaymn.ak-rn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5AAD-4523-4F94-ABE3-84672D34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2020-08-14T05:05:00Z</cp:lastPrinted>
  <dcterms:created xsi:type="dcterms:W3CDTF">2020-08-12T05:06:00Z</dcterms:created>
  <dcterms:modified xsi:type="dcterms:W3CDTF">2020-08-14T05:09:00Z</dcterms:modified>
</cp:coreProperties>
</file>